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274F4" w14:textId="77777777" w:rsidR="00C06078" w:rsidRPr="00264C55" w:rsidRDefault="00C06078" w:rsidP="00C06078">
      <w:pPr>
        <w:rPr>
          <w:b/>
          <w:bCs/>
          <w:color w:val="4472C4" w:themeColor="accent1"/>
          <w:sz w:val="32"/>
          <w:szCs w:val="32"/>
          <w:lang w:val="el-GR"/>
        </w:rPr>
      </w:pPr>
      <w:r w:rsidRPr="00264C55">
        <w:rPr>
          <w:b/>
          <w:bCs/>
          <w:color w:val="4472C4" w:themeColor="accent1"/>
          <w:sz w:val="32"/>
          <w:szCs w:val="32"/>
          <w:lang w:val="el-GR"/>
        </w:rPr>
        <w:t>Δ. Παρεμβάσεις για το στεγαστικό πρόβλημα</w:t>
      </w:r>
    </w:p>
    <w:p w14:paraId="432D68CA" w14:textId="77777777" w:rsidR="00C06078" w:rsidRPr="00264C55" w:rsidRDefault="00C06078" w:rsidP="00C06078">
      <w:pPr>
        <w:spacing w:line="276" w:lineRule="auto"/>
        <w:rPr>
          <w:b/>
          <w:bCs/>
          <w:sz w:val="32"/>
          <w:szCs w:val="32"/>
          <w:lang w:val="el-GR"/>
        </w:rPr>
      </w:pPr>
      <w:r w:rsidRPr="00264C55">
        <w:rPr>
          <w:b/>
          <w:bCs/>
          <w:sz w:val="32"/>
          <w:szCs w:val="32"/>
          <w:lang w:val="el-GR"/>
        </w:rPr>
        <w:t xml:space="preserve">Δ.1 Μέτρα που έχουν εφαρμοστεί </w:t>
      </w:r>
    </w:p>
    <w:p w14:paraId="4019F768" w14:textId="77777777" w:rsidR="00C06078" w:rsidRPr="00264C55" w:rsidRDefault="00C06078" w:rsidP="00C06078">
      <w:pPr>
        <w:spacing w:line="276" w:lineRule="auto"/>
        <w:jc w:val="both"/>
        <w:rPr>
          <w:sz w:val="32"/>
          <w:szCs w:val="32"/>
          <w:lang w:val="el-GR"/>
        </w:rPr>
      </w:pPr>
      <w:r w:rsidRPr="00264C55">
        <w:rPr>
          <w:sz w:val="32"/>
          <w:szCs w:val="32"/>
          <w:lang w:val="el-GR"/>
        </w:rPr>
        <w:t>Ήδη κατά τα προηγούμενα έτη εφαρμόστηκε σειρά μέτρων για την αντιμετώπιση του στεγαστικού προβλήματος. Ενδεικτικά αναφέρονται:</w:t>
      </w:r>
    </w:p>
    <w:p w14:paraId="3F352B72" w14:textId="77777777" w:rsidR="00C06078" w:rsidRPr="00264C55" w:rsidRDefault="00C06078" w:rsidP="00C06078">
      <w:pPr>
        <w:pStyle w:val="a6"/>
        <w:numPr>
          <w:ilvl w:val="0"/>
          <w:numId w:val="3"/>
        </w:numPr>
        <w:spacing w:line="276" w:lineRule="auto"/>
        <w:jc w:val="both"/>
        <w:rPr>
          <w:sz w:val="32"/>
          <w:szCs w:val="32"/>
          <w:lang w:val="el-GR"/>
        </w:rPr>
      </w:pPr>
      <w:r w:rsidRPr="00264C55">
        <w:rPr>
          <w:sz w:val="32"/>
          <w:szCs w:val="32"/>
          <w:lang w:val="el-GR"/>
        </w:rPr>
        <w:t>Μείωση του ΕΝΦΙΑ κατά 34% μεσοσταθμικά για τα φυσικά πρόσωπα. Κόστος 860 εκατ. ευρώ κατ’έτος.</w:t>
      </w:r>
    </w:p>
    <w:p w14:paraId="75D08602" w14:textId="77777777" w:rsidR="00C06078" w:rsidRPr="00264C55" w:rsidRDefault="00C06078" w:rsidP="00C06078">
      <w:pPr>
        <w:pStyle w:val="a6"/>
        <w:numPr>
          <w:ilvl w:val="0"/>
          <w:numId w:val="3"/>
        </w:numPr>
        <w:spacing w:line="276" w:lineRule="auto"/>
        <w:jc w:val="both"/>
        <w:rPr>
          <w:sz w:val="32"/>
          <w:szCs w:val="32"/>
          <w:lang w:val="el-GR"/>
        </w:rPr>
      </w:pPr>
      <w:r w:rsidRPr="00264C55">
        <w:rPr>
          <w:rFonts w:cstheme="minorHAnsi"/>
          <w:sz w:val="32"/>
          <w:szCs w:val="32"/>
          <w:lang w:val="el-GR"/>
        </w:rPr>
        <w:t xml:space="preserve">Κατάργηση του φόρου γονικών παροχών-δωρεών για συγγενείς πρώτου βαθμού, για δωρεές-παροχές έως 800.000 ευρώ, από 1η Οκτωβρίου 2021. </w:t>
      </w:r>
    </w:p>
    <w:p w14:paraId="5BB1F382" w14:textId="77777777" w:rsidR="00C06078" w:rsidRPr="00264C55" w:rsidRDefault="00C06078" w:rsidP="00C06078">
      <w:pPr>
        <w:pStyle w:val="a6"/>
        <w:numPr>
          <w:ilvl w:val="0"/>
          <w:numId w:val="3"/>
        </w:numPr>
        <w:spacing w:line="276" w:lineRule="auto"/>
        <w:jc w:val="both"/>
        <w:rPr>
          <w:sz w:val="32"/>
          <w:szCs w:val="32"/>
          <w:lang w:val="el-GR"/>
        </w:rPr>
      </w:pPr>
      <w:r w:rsidRPr="00264C55">
        <w:rPr>
          <w:sz w:val="32"/>
          <w:szCs w:val="32"/>
          <w:lang w:val="el-GR"/>
        </w:rPr>
        <w:t>Αναστολή ΦΠΑ στις νέες οικοδομές τα 6 τελευταία έτη 2020-2025. Δημοσιονομικό κόστος: 18 εκατ. ευρώ κατ’έτος.</w:t>
      </w:r>
    </w:p>
    <w:p w14:paraId="54D7BAEF" w14:textId="77777777" w:rsidR="00C06078" w:rsidRPr="00264C55" w:rsidRDefault="00C06078" w:rsidP="00C06078">
      <w:pPr>
        <w:pStyle w:val="a6"/>
        <w:numPr>
          <w:ilvl w:val="0"/>
          <w:numId w:val="3"/>
        </w:numPr>
        <w:spacing w:line="276" w:lineRule="auto"/>
        <w:jc w:val="both"/>
        <w:rPr>
          <w:sz w:val="32"/>
          <w:szCs w:val="32"/>
          <w:lang w:val="el-GR"/>
        </w:rPr>
      </w:pPr>
      <w:r w:rsidRPr="00264C55">
        <w:rPr>
          <w:sz w:val="32"/>
          <w:szCs w:val="32"/>
          <w:lang w:val="el-GR"/>
        </w:rPr>
        <w:t>Πρόγραμμα ΣΠΙΤΙ μου με παροχή χαμηλότοκου στεγαστικού δανείου για νέους ή ζευγάρια 25-39 ετών για την αγορά πρώτης κατοικίας με συνολικό προϋπολογισμό 750 εκατ. ευρώ από τη Δημόσια Υπηρεσία Απασχόλησης (ΔΥΠΑ).</w:t>
      </w:r>
    </w:p>
    <w:p w14:paraId="732B5490" w14:textId="77777777" w:rsidR="00C06078" w:rsidRPr="00264C55" w:rsidRDefault="00C06078" w:rsidP="00C06078">
      <w:pPr>
        <w:pStyle w:val="a6"/>
        <w:numPr>
          <w:ilvl w:val="0"/>
          <w:numId w:val="3"/>
        </w:numPr>
        <w:spacing w:line="276" w:lineRule="auto"/>
        <w:jc w:val="both"/>
        <w:rPr>
          <w:sz w:val="32"/>
          <w:szCs w:val="32"/>
          <w:lang w:val="el-GR"/>
        </w:rPr>
      </w:pPr>
      <w:r w:rsidRPr="00264C55">
        <w:rPr>
          <w:sz w:val="32"/>
          <w:szCs w:val="32"/>
          <w:lang w:val="el-GR"/>
        </w:rPr>
        <w:t xml:space="preserve">Πρόγραμμα «Εξοικονομώ - Ανακαινίζω για νέους», με προϋπολογισμό 300 εκατ. ευρώ (200 εκατ. από Ταμείο Ανάκαμψης και 100 εκατ. από Εθνικούς πόρους). Το σκέλος «Εξοικονομώ» συνίσταται στην παροχή κινήτρων για παρεμβάσεις εξοικονόμησης ενέργειας στον οικιακό κτηριακό τομέα και το σκέλος «Ανακαινίζω» συνίσταται στην παροχή κινήτρων για παρεμβάσεις αισθητικής, λειτουργικής </w:t>
      </w:r>
      <w:r w:rsidRPr="00264C55">
        <w:rPr>
          <w:sz w:val="32"/>
          <w:szCs w:val="32"/>
          <w:lang w:val="el-GR"/>
        </w:rPr>
        <w:lastRenderedPageBreak/>
        <w:t>ανακαίνισης και αναβάθμισης των κατοικιών, ως συμπληρωματικές των παρεμβάσεων εξοικονόμησης ενέργειας.</w:t>
      </w:r>
    </w:p>
    <w:p w14:paraId="60580E2C" w14:textId="77777777" w:rsidR="00C06078" w:rsidRPr="00264C55" w:rsidRDefault="00C06078" w:rsidP="00C06078">
      <w:pPr>
        <w:pStyle w:val="a6"/>
        <w:numPr>
          <w:ilvl w:val="0"/>
          <w:numId w:val="3"/>
        </w:numPr>
        <w:spacing w:line="276" w:lineRule="auto"/>
        <w:jc w:val="both"/>
        <w:rPr>
          <w:sz w:val="32"/>
          <w:szCs w:val="32"/>
          <w:lang w:val="el-GR"/>
        </w:rPr>
      </w:pPr>
      <w:r w:rsidRPr="00264C55">
        <w:rPr>
          <w:sz w:val="32"/>
          <w:szCs w:val="32"/>
          <w:lang w:val="el-GR"/>
        </w:rPr>
        <w:t>Πρόγραμμα στεγαστικής συνδρομής Κάλυψη μέσω της ΔΥΠΑ, με το οποίο αξιοποιούνται ιδιωτικές κατοικίες που είχαν διατεθεί για στέγαση αιτούντων διεθνή προστασία στο πλαίσιο του προγράμματος «ESTIA II» για τη στέγαση ευάλωτων κοινωνικών ομάδων.</w:t>
      </w:r>
    </w:p>
    <w:p w14:paraId="2D24A38C" w14:textId="77777777" w:rsidR="00C06078" w:rsidRPr="00264C55" w:rsidRDefault="00C06078" w:rsidP="00C06078">
      <w:pPr>
        <w:pStyle w:val="a6"/>
        <w:numPr>
          <w:ilvl w:val="0"/>
          <w:numId w:val="3"/>
        </w:numPr>
        <w:spacing w:line="276" w:lineRule="auto"/>
        <w:jc w:val="both"/>
        <w:rPr>
          <w:sz w:val="32"/>
          <w:szCs w:val="32"/>
          <w:lang w:val="el-GR"/>
        </w:rPr>
      </w:pPr>
      <w:r w:rsidRPr="00264C55">
        <w:rPr>
          <w:sz w:val="32"/>
          <w:szCs w:val="32"/>
          <w:lang w:val="el-GR"/>
        </w:rPr>
        <w:t xml:space="preserve">Από 1/1/2024 εφαρμόστηκε μεγαλύτερη μείωση φόρου για δαπάνες αναβάθμισης κτιρίων (αύξηση από το 40% στο 100%) όπου λαμβάνονται και υπόψη οι δαπάνες αγοράς αγαθών. Οι δαπάνες που πραγματοποιούνται για την αγορά αγαθών και τη λήψη υπηρεσιών που σχετίζονται με την ενεργειακή, λειτουργική και αισθητική αναβάθμιση κτιρίων, τα οποία δεν έχουν ήδη ενταχθεί ή δεν  εντάσσονται σε πρόγραμμα αναβάθμισης κτιρίων, μειώνουν, ισόποσα κατανεμημένες σε περίοδο πέντε (5) ετών, τον φόρο εισοδήματος των φυσικών προσώπων, μέχρι του αναλογούντος για κάθε φορολογικό έτος φόρου, με ανώτατο συνολικά όριο δαπάνης τις δεκαέξι χιλιάδες (16.000) ευρώ. </w:t>
      </w:r>
    </w:p>
    <w:p w14:paraId="71A30B79" w14:textId="77777777" w:rsidR="00C06078" w:rsidRPr="00264C55" w:rsidRDefault="00C06078" w:rsidP="00C06078">
      <w:pPr>
        <w:pStyle w:val="a6"/>
        <w:numPr>
          <w:ilvl w:val="0"/>
          <w:numId w:val="3"/>
        </w:numPr>
        <w:spacing w:line="276" w:lineRule="auto"/>
        <w:jc w:val="both"/>
        <w:rPr>
          <w:sz w:val="32"/>
          <w:szCs w:val="32"/>
          <w:lang w:val="el-GR"/>
        </w:rPr>
      </w:pPr>
      <w:r w:rsidRPr="00264C55">
        <w:rPr>
          <w:sz w:val="32"/>
          <w:szCs w:val="32"/>
          <w:lang w:val="el-GR"/>
        </w:rPr>
        <w:t>Πρόγραμμα «Ανακαινίζω-Ενοικιάζω» για Κενά Σπίτια: Με σκοπό την αύξηση των αξιοποιήσιμων κατοικιών επιδοτείται έως 40% του κόστος της ανακαίνισης και έως 10.000 ευρώ για κενές κατοικίες που θα μισθωθούν σε μακροχρόνια μίσθωση με προϋπολογισμό 50 εκατ. ευρώ.</w:t>
      </w:r>
    </w:p>
    <w:p w14:paraId="16FC0417" w14:textId="77777777" w:rsidR="00C06078" w:rsidRPr="00264C55" w:rsidRDefault="00C06078" w:rsidP="00C06078">
      <w:pPr>
        <w:pStyle w:val="a6"/>
        <w:numPr>
          <w:ilvl w:val="0"/>
          <w:numId w:val="3"/>
        </w:numPr>
        <w:spacing w:line="276" w:lineRule="auto"/>
        <w:jc w:val="both"/>
        <w:rPr>
          <w:sz w:val="32"/>
          <w:szCs w:val="32"/>
          <w:lang w:val="el-GR"/>
        </w:rPr>
      </w:pPr>
      <w:r w:rsidRPr="00264C55">
        <w:rPr>
          <w:sz w:val="32"/>
          <w:szCs w:val="32"/>
          <w:lang w:val="el-GR"/>
        </w:rPr>
        <w:t xml:space="preserve">Από 1/1/2024 με στόχο τη ρύθμιση της αγοράς των βραχυχρόνιων μισθώσεων και την αντιμετώπιση των δευτερογενών αρνητικών επιπτώσεων στην τιμές των ενοικίων, επιβάλλεται ΦΠΑ 13% και τέλος παρεπιδημούντων στις βραχυχρόνιες μισθώσεις ακινήτων (τύπου airbnb) στα νομικά πρόσωπα και </w:t>
      </w:r>
      <w:r w:rsidRPr="00264C55">
        <w:rPr>
          <w:sz w:val="32"/>
          <w:szCs w:val="32"/>
          <w:lang w:val="el-GR"/>
        </w:rPr>
        <w:lastRenderedPageBreak/>
        <w:t>στα φυσικά πρόσωπα με τρία ή περισσότερα εκμισθωμένα διαμερίσματα, τα οποία πλέον πρέπει να ασκούν επιχειρηματική δραστηριότητα, ενώ αυστηροποιήθηκε ο ορισμός της βραχυχρόνιας μίσθωσης.</w:t>
      </w:r>
    </w:p>
    <w:p w14:paraId="5D35A5D1" w14:textId="77777777" w:rsidR="00C06078" w:rsidRPr="00264C55" w:rsidRDefault="00C06078" w:rsidP="00C06078">
      <w:pPr>
        <w:pStyle w:val="a6"/>
        <w:numPr>
          <w:ilvl w:val="0"/>
          <w:numId w:val="3"/>
        </w:numPr>
        <w:spacing w:line="276" w:lineRule="auto"/>
        <w:jc w:val="both"/>
        <w:rPr>
          <w:sz w:val="32"/>
          <w:szCs w:val="32"/>
          <w:lang w:val="el-GR"/>
        </w:rPr>
      </w:pPr>
      <w:r w:rsidRPr="00264C55">
        <w:rPr>
          <w:sz w:val="32"/>
          <w:szCs w:val="32"/>
          <w:lang w:val="el-GR"/>
        </w:rPr>
        <w:t xml:space="preserve">Αυστηροποιήθηκαν περεταίρω τα κριτήρια για τη χορήγηση Golden Visa από τον Σεπτέμβριο του 2024. Τα όρια αυξήθηκαν στις 800.000 ευρώ από 500.000 ευρώ στην Αττική, την Θεσσαλονίκη, την Μύκονο, την Σαντορίνη και τα νησιά με πληθυσμό άνω των 3.100 κατοίκων, ενώ εισήχθη και πλαφόν στο εμβαδό, αφού πλέον για να πάρει κάποιος την Golden Visa θα πρέπει το εμβαδόν του ακινήτου να είναι τουλάχιστον 120 τ.μ. και αφορά ένα μοναδικό ακίνητο. Επιπλέον, στις υπόλοιπες περιοχές, από 250.000 ευρώ το όριο αυξήθηκε στα 400.000 ευρώ. </w:t>
      </w:r>
    </w:p>
    <w:p w14:paraId="6E273D5B" w14:textId="77777777" w:rsidR="00C06078" w:rsidRPr="00264C55" w:rsidRDefault="00C06078" w:rsidP="00C06078">
      <w:pPr>
        <w:spacing w:line="276" w:lineRule="auto"/>
        <w:jc w:val="both"/>
        <w:rPr>
          <w:sz w:val="32"/>
          <w:szCs w:val="32"/>
          <w:lang w:val="el-GR"/>
        </w:rPr>
      </w:pPr>
      <w:r w:rsidRPr="00264C55">
        <w:rPr>
          <w:sz w:val="32"/>
          <w:szCs w:val="32"/>
          <w:lang w:val="el-GR"/>
        </w:rPr>
        <w:t xml:space="preserve">Πέρα από τα ανωτέρω μέτρα εφαρμόστηκαν το 2025 τα ακόλουθα νέα μέτρα: </w:t>
      </w:r>
    </w:p>
    <w:p w14:paraId="7269C49E" w14:textId="77777777" w:rsidR="00C06078" w:rsidRPr="00264C55" w:rsidRDefault="00C06078" w:rsidP="00C06078">
      <w:pPr>
        <w:pStyle w:val="a6"/>
        <w:numPr>
          <w:ilvl w:val="0"/>
          <w:numId w:val="3"/>
        </w:numPr>
        <w:spacing w:line="276" w:lineRule="auto"/>
        <w:jc w:val="both"/>
        <w:rPr>
          <w:sz w:val="32"/>
          <w:szCs w:val="32"/>
          <w:lang w:val="el-GR"/>
        </w:rPr>
      </w:pPr>
      <w:r w:rsidRPr="00264C55">
        <w:rPr>
          <w:sz w:val="32"/>
          <w:szCs w:val="32"/>
          <w:lang w:val="el-GR"/>
        </w:rPr>
        <w:t xml:space="preserve">Δημιουργήθηκε νέο πρόγραμμα ΣΠΙΤΙ μου ΙΙ, με συνολικό προϋπολογισμό 2 δισ. ευρώ, εκ των οποίων 1 δισ. ευρώ χρηματοδοτείται από το δανειακό σκέλος του Ταμείου Ανάκαμψης και Ανθεκτικότητας (ΤΑΑ) και 1 δισ. ευρώ από τις τράπεζες. Το επιτόκια είναι μειωμένο κατά 50% από το τρέχον εμπορικό, καθώς το ποσό που χρηματοδοτείται  από το ΤΑΑ είναι άτοκο. Τα ηλικιακά και εισοδηματικά κριτήρια διευρύνονται σε σχέση με το πρώτο πρόγραμμα ΣΠΙΤΙ μου. Το πρόγραμμα καλύπτει φυσικά πρόσωπα και ζευγάρια από 25 έως 50 ετών, με εισόδημα από 10.000 έως 20.000 ευρώ για τον άγαμο, που αυξάνεται σε 28.000 ευρώ για το ζευγάρι πλέον 4.000 ευρώ για κάθε τέκνο. </w:t>
      </w:r>
      <w:r w:rsidRPr="00264C55">
        <w:rPr>
          <w:sz w:val="32"/>
          <w:szCs w:val="32"/>
          <w:lang w:val="el-GR"/>
        </w:rPr>
        <w:lastRenderedPageBreak/>
        <w:t>Το πρόγραμμα αναμένεται να καλύψει περισσότερες από 15.000 οικογένειες. Επιπλέον, εφαρμόζεται επιπρόσθετο πρόγραμμα «Αναβαθμίζω το ΣΠΙΤΙ μου» μέσω του δανειακού σκέλους του ΤΑΑ για ενεργειακή αναβάθμιση παλιών κατοικιών με μηδενικό επιτόκιο.</w:t>
      </w:r>
    </w:p>
    <w:p w14:paraId="5EA8C547" w14:textId="77777777" w:rsidR="00C06078" w:rsidRPr="00264C55" w:rsidRDefault="00C06078" w:rsidP="00C06078">
      <w:pPr>
        <w:pStyle w:val="a6"/>
        <w:numPr>
          <w:ilvl w:val="0"/>
          <w:numId w:val="3"/>
        </w:numPr>
        <w:spacing w:line="276" w:lineRule="auto"/>
        <w:jc w:val="both"/>
        <w:rPr>
          <w:sz w:val="32"/>
          <w:szCs w:val="32"/>
          <w:lang w:val="el-GR"/>
        </w:rPr>
      </w:pPr>
      <w:r w:rsidRPr="00264C55">
        <w:rPr>
          <w:sz w:val="32"/>
          <w:szCs w:val="32"/>
          <w:lang w:val="el-GR"/>
        </w:rPr>
        <w:t xml:space="preserve">Όποιος ιδιοκτήτης μετατρέψει από 08/09/2024 και έως 31/12/2025 κενό ακίνητο (που παραμένει κλειστό για τουλάχιστον 3 έτη) ή ακίνητο που βρίσκεται σε βραχυχρόνια μίσθωση, σε μακροχρόνια μίσθωση, έχει απαλλαγή φόρου εισοδήματος για το εν λόγω ενοίκιο για 3 έτη. Αφορά ακίνητα έως 120 τ.μ. </w:t>
      </w:r>
    </w:p>
    <w:p w14:paraId="0BA51395" w14:textId="77777777" w:rsidR="00C06078" w:rsidRPr="00264C55" w:rsidRDefault="00C06078" w:rsidP="00C06078">
      <w:pPr>
        <w:pStyle w:val="a6"/>
        <w:numPr>
          <w:ilvl w:val="0"/>
          <w:numId w:val="3"/>
        </w:numPr>
        <w:spacing w:line="276" w:lineRule="auto"/>
        <w:jc w:val="both"/>
        <w:rPr>
          <w:sz w:val="32"/>
          <w:szCs w:val="32"/>
          <w:lang w:val="el-GR"/>
        </w:rPr>
      </w:pPr>
      <w:r w:rsidRPr="00264C55">
        <w:rPr>
          <w:sz w:val="32"/>
          <w:szCs w:val="32"/>
          <w:lang w:val="el-GR"/>
        </w:rPr>
        <w:t xml:space="preserve">Στο κέντρο της Αθήνας και συγκεκριμένα στο 1ο, 2ο και 3ο δημοτικό διαμέρισμα, που το ποσοστό των διαμερισμάτων που διατίθενται σε βραχυχρόνια μίσθωση είναι ιδιαίτερα υψηλό, δεν επιτρέπεται νέα βραχυχρόνια μίσθωση για ένα έτος με δυνατότητα παράτασης. Συγκεκριμένα από 1/1/2025 και έως το τέλος του έτους δεν επιτρέπεται η εγγραφή νέου ακινήτου στο μητρώο βραχυχρόνιας μίσθωσης της ΑΑΔΕ σε αυτές τις περιοχές. </w:t>
      </w:r>
    </w:p>
    <w:p w14:paraId="56ECE5FD" w14:textId="77777777" w:rsidR="00C06078" w:rsidRPr="00264C55" w:rsidRDefault="00C06078" w:rsidP="00C06078">
      <w:pPr>
        <w:pStyle w:val="a6"/>
        <w:numPr>
          <w:ilvl w:val="0"/>
          <w:numId w:val="3"/>
        </w:numPr>
        <w:spacing w:line="276" w:lineRule="auto"/>
        <w:jc w:val="both"/>
        <w:rPr>
          <w:sz w:val="32"/>
          <w:szCs w:val="32"/>
          <w:lang w:val="el-GR"/>
        </w:rPr>
      </w:pPr>
      <w:r w:rsidRPr="00264C55">
        <w:rPr>
          <w:sz w:val="32"/>
          <w:szCs w:val="32"/>
          <w:lang w:val="el-GR"/>
        </w:rPr>
        <w:t>Αυξήθηκε το τέλος ανθεκτικότητας στην κλιματική κρίση για βραχυχρόνιες μισθώσεις από 0,5 έως 1,5 ευρώ τη διανυκτέρευση σε 2 ευρώ τους χειμερινούς μήνες και 8 ευρώ κατά τους καλοκαιρινούς μήνες.</w:t>
      </w:r>
    </w:p>
    <w:p w14:paraId="593FF0DA" w14:textId="77777777" w:rsidR="00C06078" w:rsidRPr="00264C55" w:rsidRDefault="00C06078" w:rsidP="00C06078">
      <w:pPr>
        <w:pStyle w:val="a6"/>
        <w:numPr>
          <w:ilvl w:val="0"/>
          <w:numId w:val="3"/>
        </w:numPr>
        <w:spacing w:line="276" w:lineRule="auto"/>
        <w:jc w:val="both"/>
        <w:rPr>
          <w:sz w:val="32"/>
          <w:szCs w:val="32"/>
          <w:lang w:val="el-GR"/>
        </w:rPr>
      </w:pPr>
      <w:r w:rsidRPr="00264C55">
        <w:rPr>
          <w:sz w:val="32"/>
          <w:szCs w:val="32"/>
          <w:lang w:val="el-GR"/>
        </w:rPr>
        <w:t xml:space="preserve">Διπλασιάστηκε η μέγιστη επιδότηση του προγράμματος Ανακαινίζω-Νοικιάζω από τα 4.000 στα 8.100 ευρώ: Από 40% επιδότηση δαπανών ύψους έως 10.000 ευρώ, αυξήθηκε η επιδότηση σε 60% δαπανών ύψους έως 13.500 ευρώ. </w:t>
      </w:r>
    </w:p>
    <w:p w14:paraId="0507C227" w14:textId="77777777" w:rsidR="00C06078" w:rsidRPr="00264C55" w:rsidRDefault="00C06078" w:rsidP="00C06078">
      <w:pPr>
        <w:spacing w:line="276" w:lineRule="auto"/>
        <w:jc w:val="both"/>
        <w:rPr>
          <w:b/>
          <w:bCs/>
          <w:sz w:val="32"/>
          <w:szCs w:val="32"/>
        </w:rPr>
      </w:pPr>
      <w:r w:rsidRPr="00264C55">
        <w:rPr>
          <w:b/>
          <w:bCs/>
          <w:sz w:val="32"/>
          <w:szCs w:val="32"/>
          <w:lang w:val="el-GR"/>
        </w:rPr>
        <w:lastRenderedPageBreak/>
        <w:t>Νέα μέτρα</w:t>
      </w:r>
      <w:r w:rsidRPr="00264C55">
        <w:rPr>
          <w:b/>
          <w:bCs/>
          <w:sz w:val="32"/>
          <w:szCs w:val="32"/>
        </w:rPr>
        <w:t>:</w:t>
      </w:r>
    </w:p>
    <w:p w14:paraId="15AFF550" w14:textId="77777777" w:rsidR="00C06078" w:rsidRPr="00264C55" w:rsidRDefault="00C06078" w:rsidP="00C06078">
      <w:pPr>
        <w:pStyle w:val="a6"/>
        <w:numPr>
          <w:ilvl w:val="0"/>
          <w:numId w:val="4"/>
        </w:numPr>
        <w:spacing w:line="276" w:lineRule="auto"/>
        <w:jc w:val="both"/>
        <w:rPr>
          <w:sz w:val="32"/>
          <w:szCs w:val="32"/>
          <w:lang w:val="el-GR"/>
        </w:rPr>
      </w:pPr>
      <w:r w:rsidRPr="00264C55">
        <w:rPr>
          <w:sz w:val="32"/>
          <w:szCs w:val="32"/>
          <w:lang w:val="el-GR"/>
        </w:rPr>
        <w:t>Από τον Νοέμβριο του 2025 και κάθε έτος επιστρέφεται ετησίως ένα ενοίκιο κύριας και φοιτητικής κατοικίας για το 80% των ενοικιαστών με εισοδηματικά και περιουσιακά κριτήρια (το μέτρο έχει ήδη θεσμοθετηθεί). Ετήσιο κόστος 230 εκατ. ευρώ.</w:t>
      </w:r>
    </w:p>
    <w:p w14:paraId="1A62B8CF" w14:textId="77777777" w:rsidR="00C06078" w:rsidRPr="00264C55" w:rsidRDefault="00C06078" w:rsidP="00C06078">
      <w:pPr>
        <w:pStyle w:val="a6"/>
        <w:numPr>
          <w:ilvl w:val="0"/>
          <w:numId w:val="4"/>
        </w:numPr>
        <w:spacing w:line="276" w:lineRule="auto"/>
        <w:jc w:val="both"/>
        <w:rPr>
          <w:sz w:val="32"/>
          <w:szCs w:val="32"/>
          <w:lang w:val="el-GR"/>
        </w:rPr>
      </w:pPr>
      <w:r w:rsidRPr="00264C55">
        <w:rPr>
          <w:sz w:val="32"/>
          <w:szCs w:val="32"/>
          <w:lang w:val="el-GR"/>
        </w:rPr>
        <w:t>Επεκτείνεται και για το 2026 η απαλλαγή φόρου εισοδήματος για 3 έτη για κενές κατοικίες (που παραμένουν κλειστές τουλάχιστον 3 έτη) που θα μισθωθούν σε μακροχρόνια μίσθωση έως τέλος του 2026. Το δημοσιονομικό κόστος εκτιμάται σε 13 εκατ. ευρώ για το 2026 και 22 εκατ. ευρώ για το 2027.</w:t>
      </w:r>
    </w:p>
    <w:p w14:paraId="5858A042" w14:textId="77777777" w:rsidR="00C06078" w:rsidRPr="00264C55" w:rsidRDefault="00C06078" w:rsidP="00C06078">
      <w:pPr>
        <w:pStyle w:val="a6"/>
        <w:numPr>
          <w:ilvl w:val="0"/>
          <w:numId w:val="4"/>
        </w:numPr>
        <w:spacing w:line="276" w:lineRule="auto"/>
        <w:jc w:val="both"/>
        <w:rPr>
          <w:sz w:val="32"/>
          <w:szCs w:val="32"/>
          <w:lang w:val="el-GR"/>
        </w:rPr>
      </w:pPr>
      <w:r w:rsidRPr="00264C55">
        <w:rPr>
          <w:sz w:val="32"/>
          <w:szCs w:val="32"/>
          <w:lang w:val="el-GR"/>
        </w:rPr>
        <w:t>Επεκτείνεται για μια ακόμη μια χρονιά, δηλαδή μέχρι το τέλος του 2026, η αναστολή του ΦΠΑ στις νέες οικοδομές, με σκοπό την αύξηση των κατοικιών προς διάθεση με ετήσιο κόστος 18 εκατ. ευρώ.</w:t>
      </w:r>
    </w:p>
    <w:p w14:paraId="5B08F39E" w14:textId="77777777" w:rsidR="00C06078" w:rsidRPr="00264C55" w:rsidRDefault="00C06078" w:rsidP="00C06078">
      <w:pPr>
        <w:pStyle w:val="a6"/>
        <w:numPr>
          <w:ilvl w:val="0"/>
          <w:numId w:val="4"/>
        </w:numPr>
        <w:spacing w:line="276" w:lineRule="auto"/>
        <w:jc w:val="both"/>
        <w:rPr>
          <w:sz w:val="32"/>
          <w:szCs w:val="32"/>
          <w:lang w:val="el-GR"/>
        </w:rPr>
      </w:pPr>
      <w:r w:rsidRPr="00264C55">
        <w:rPr>
          <w:sz w:val="32"/>
          <w:szCs w:val="32"/>
          <w:lang w:val="el-GR"/>
        </w:rPr>
        <w:t>Παρατείνεται η ισχύς της μείωσης του φόρου εισοδήματος για δαπάνες αναβάθμισης κτιρίων για τα έτη 2025 και 2026 (το μέτρο έχει ήδη θεσμοθετηθεί). Εκτιμώμενο ετήσιο κόστος 5 εκατ. ευρώ.</w:t>
      </w:r>
    </w:p>
    <w:p w14:paraId="0176E6F8" w14:textId="77777777" w:rsidR="00C06078" w:rsidRPr="00264C55" w:rsidRDefault="00C06078" w:rsidP="00C06078">
      <w:pPr>
        <w:pStyle w:val="a6"/>
        <w:numPr>
          <w:ilvl w:val="0"/>
          <w:numId w:val="4"/>
        </w:numPr>
        <w:spacing w:line="276" w:lineRule="auto"/>
        <w:jc w:val="both"/>
        <w:rPr>
          <w:sz w:val="32"/>
          <w:szCs w:val="32"/>
          <w:lang w:val="el-GR"/>
        </w:rPr>
      </w:pPr>
      <w:r w:rsidRPr="00264C55">
        <w:rPr>
          <w:sz w:val="32"/>
          <w:szCs w:val="32"/>
          <w:lang w:val="el-GR"/>
        </w:rPr>
        <w:t xml:space="preserve">Επεκτείνεται και για το 2026 ο περιορισμός λειτουργίας νέων βραχυχρόνιων μισθώσεων στα τρία δημοτικά διαμερίσματα της Αθήνας. </w:t>
      </w:r>
    </w:p>
    <w:p w14:paraId="49876127" w14:textId="77777777" w:rsidR="00C06078" w:rsidRPr="00264C55" w:rsidRDefault="00C06078" w:rsidP="00C06078">
      <w:pPr>
        <w:pStyle w:val="a6"/>
        <w:numPr>
          <w:ilvl w:val="0"/>
          <w:numId w:val="4"/>
        </w:numPr>
        <w:spacing w:line="276" w:lineRule="auto"/>
        <w:jc w:val="both"/>
        <w:rPr>
          <w:sz w:val="32"/>
          <w:szCs w:val="32"/>
          <w:lang w:val="el-GR"/>
        </w:rPr>
      </w:pPr>
      <w:r w:rsidRPr="00264C55">
        <w:rPr>
          <w:sz w:val="32"/>
          <w:szCs w:val="32"/>
          <w:lang w:val="el-GR"/>
        </w:rPr>
        <w:t xml:space="preserve">Κοινωνική αντιπαροχή: Στόχος του νέου θεσμικού πλαισίου είναι η αξιοποίηση της ακίνητης περιουσίας του Δημοσίου μέσω κινήτρων που κινητοποιούν την ιδιωτική πρωτοβουλία (π.χ. απόκτηση ποσοστού κυριότητας στο ακίνητο) για την κατασκευή σύγχρονων κατοικιών για την κάλυψη των στεγαστικών αναγκών των πολιτών. Με τον τρόπο αυτό επιχειρείται αφενός η αξιοποίηση της </w:t>
      </w:r>
      <w:r w:rsidRPr="00264C55">
        <w:rPr>
          <w:sz w:val="32"/>
          <w:szCs w:val="32"/>
          <w:lang w:val="el-GR"/>
        </w:rPr>
        <w:lastRenderedPageBreak/>
        <w:t xml:space="preserve">δημόσιας περιουσίας με την δημιουργία κοινωνικών κατοικιών και αφετέρου η εξασφάλιση κοινωνικής μίσθωσης με δυνατότητα εξαγοράς σε κοινωνικά ευάλωτες ομάδες. </w:t>
      </w:r>
    </w:p>
    <w:p w14:paraId="69A703B0" w14:textId="77777777" w:rsidR="00C06078" w:rsidRPr="00264C55" w:rsidRDefault="00C06078" w:rsidP="00C06078">
      <w:pPr>
        <w:pStyle w:val="a6"/>
        <w:numPr>
          <w:ilvl w:val="0"/>
          <w:numId w:val="4"/>
        </w:numPr>
        <w:spacing w:line="276" w:lineRule="auto"/>
        <w:jc w:val="both"/>
        <w:rPr>
          <w:sz w:val="32"/>
          <w:szCs w:val="32"/>
          <w:lang w:val="el-GR"/>
        </w:rPr>
      </w:pPr>
      <w:r w:rsidRPr="00264C55">
        <w:rPr>
          <w:sz w:val="32"/>
          <w:szCs w:val="32"/>
          <w:lang w:val="el-GR"/>
        </w:rPr>
        <w:t>Από το 2026 μειώνεται κατά 50% και από το 2027 καταργείται ο ΕΝΦΙΑ για κύριες κατοικίες σε οικισμούς με πληθυσμό έως 1.500 κατοίκους. Το μέτρο αναμένεται να ενδυναμώσει την παρουσία των κατοίκων στις εν λόγω περιοχές. Σημειώνεται ότι η αποκέντρωση συνδέεται άμεσα με το στεγαστικό πρόβλημα.</w:t>
      </w:r>
    </w:p>
    <w:p w14:paraId="4745592B" w14:textId="77777777" w:rsidR="00C06078" w:rsidRPr="00264C55" w:rsidRDefault="00C06078" w:rsidP="00C06078">
      <w:pPr>
        <w:pStyle w:val="a6"/>
        <w:numPr>
          <w:ilvl w:val="0"/>
          <w:numId w:val="4"/>
        </w:numPr>
        <w:spacing w:line="276" w:lineRule="auto"/>
        <w:jc w:val="both"/>
        <w:rPr>
          <w:sz w:val="32"/>
          <w:szCs w:val="32"/>
          <w:lang w:val="el-GR"/>
        </w:rPr>
      </w:pPr>
      <w:r w:rsidRPr="00264C55">
        <w:rPr>
          <w:sz w:val="32"/>
          <w:szCs w:val="32"/>
          <w:lang w:val="el-GR"/>
        </w:rPr>
        <w:t>Από το φορολογικό έτος 2026 θεσπίζεται ενδιάμεσος συντελεστής 25% για εισόδημα από ενοίκια από 12.000 έως 24.000 ευρώ. Υπενθυμίζεται ότι σήμερα έως τα 12.000 εφαρμόζεται συντελεστής 15% και στη συνέχεια αυξάνεται σε 35%. Άμεσα ωφελούμενοι εκτιμώνται σε 161.587 ιδιοκτήτες ακινήτων, ωστόσο αυτό το μέτρο αναμένεται να λειτουργήσει θετικά για τη φορολογική συμμόρφωση και τη συγκράτηση των τιμών των ενοικίων. Το δημοσιονομικό κόστος εκτιμάται σε 90 εκατ. ευρώ ετησίως που θα επιβαρύνει τα έτη 2027 και επόμενα.</w:t>
      </w:r>
    </w:p>
    <w:p w14:paraId="4A7AA57B" w14:textId="77777777" w:rsidR="00C06078" w:rsidRPr="00264C55" w:rsidRDefault="00C06078" w:rsidP="00C06078">
      <w:pPr>
        <w:pStyle w:val="a6"/>
        <w:spacing w:line="256" w:lineRule="auto"/>
        <w:jc w:val="both"/>
        <w:rPr>
          <w:sz w:val="32"/>
          <w:szCs w:val="32"/>
          <w:lang w:val="el-GR"/>
        </w:rPr>
      </w:pPr>
    </w:p>
    <w:p w14:paraId="5E2B37DF" w14:textId="77777777" w:rsidR="00C06078" w:rsidRPr="00264C55" w:rsidRDefault="00C06078" w:rsidP="00C06078">
      <w:pPr>
        <w:pStyle w:val="a6"/>
        <w:spacing w:line="256" w:lineRule="auto"/>
        <w:jc w:val="both"/>
        <w:rPr>
          <w:b/>
          <w:bCs/>
          <w:sz w:val="32"/>
          <w:szCs w:val="32"/>
          <w:lang w:val="el-GR"/>
        </w:rPr>
      </w:pPr>
      <w:r w:rsidRPr="00264C55">
        <w:rPr>
          <w:b/>
          <w:bCs/>
          <w:sz w:val="32"/>
          <w:szCs w:val="32"/>
          <w:lang w:val="el-GR"/>
        </w:rPr>
        <w:t>Φορολογικοί συντελεστές εισοδήματος από ακίνητη περιουσία</w:t>
      </w:r>
    </w:p>
    <w:tbl>
      <w:tblPr>
        <w:tblW w:w="6237" w:type="dxa"/>
        <w:tblInd w:w="699" w:type="dxa"/>
        <w:tblLook w:val="04A0" w:firstRow="1" w:lastRow="0" w:firstColumn="1" w:lastColumn="0" w:noHBand="0" w:noVBand="1"/>
      </w:tblPr>
      <w:tblGrid>
        <w:gridCol w:w="1389"/>
        <w:gridCol w:w="1195"/>
        <w:gridCol w:w="2297"/>
        <w:gridCol w:w="312"/>
        <w:gridCol w:w="1389"/>
        <w:gridCol w:w="1195"/>
        <w:gridCol w:w="2297"/>
      </w:tblGrid>
      <w:tr w:rsidR="00C06078" w:rsidRPr="00264C55" w14:paraId="57B0ACFA" w14:textId="77777777" w:rsidTr="00C84D8F">
        <w:trPr>
          <w:trHeight w:val="284"/>
        </w:trPr>
        <w:tc>
          <w:tcPr>
            <w:tcW w:w="3232" w:type="dxa"/>
            <w:gridSpan w:val="3"/>
            <w:tcBorders>
              <w:top w:val="single" w:sz="8" w:space="0" w:color="auto"/>
              <w:left w:val="single" w:sz="8" w:space="0" w:color="auto"/>
              <w:bottom w:val="nil"/>
              <w:right w:val="single" w:sz="8" w:space="0" w:color="000000"/>
            </w:tcBorders>
            <w:shd w:val="clear" w:color="000000" w:fill="D6DCE4"/>
            <w:noWrap/>
            <w:vAlign w:val="center"/>
            <w:hideMark/>
          </w:tcPr>
          <w:p w14:paraId="3B0B5E33" w14:textId="77777777" w:rsidR="00C06078" w:rsidRPr="00264C55" w:rsidRDefault="00C06078" w:rsidP="00C84D8F">
            <w:pPr>
              <w:spacing w:after="0" w:line="240" w:lineRule="auto"/>
              <w:jc w:val="center"/>
              <w:rPr>
                <w:rFonts w:ascii="Century Schoolbook" w:eastAsia="Times New Roman" w:hAnsi="Century Schoolbook" w:cs="Times New Roman"/>
                <w:b/>
                <w:bCs/>
                <w:color w:val="002060"/>
                <w:kern w:val="0"/>
                <w:sz w:val="32"/>
                <w:szCs w:val="32"/>
                <w14:ligatures w14:val="none"/>
              </w:rPr>
            </w:pPr>
            <w:r w:rsidRPr="00264C55">
              <w:rPr>
                <w:rFonts w:ascii="Century Schoolbook" w:eastAsia="Times New Roman" w:hAnsi="Century Schoolbook" w:cs="Times New Roman"/>
                <w:b/>
                <w:bCs/>
                <w:color w:val="002060"/>
                <w:kern w:val="0"/>
                <w:sz w:val="32"/>
                <w:szCs w:val="32"/>
                <w14:ligatures w14:val="none"/>
              </w:rPr>
              <w:t>Κλίμακα Σήμερα</w:t>
            </w:r>
          </w:p>
        </w:tc>
        <w:tc>
          <w:tcPr>
            <w:tcW w:w="312" w:type="dxa"/>
            <w:tcBorders>
              <w:top w:val="nil"/>
              <w:left w:val="nil"/>
              <w:bottom w:val="nil"/>
              <w:right w:val="nil"/>
            </w:tcBorders>
            <w:noWrap/>
            <w:vAlign w:val="center"/>
            <w:hideMark/>
          </w:tcPr>
          <w:p w14:paraId="3E298B7E" w14:textId="77777777" w:rsidR="00C06078" w:rsidRPr="00264C55" w:rsidRDefault="00C06078" w:rsidP="00C84D8F">
            <w:pPr>
              <w:spacing w:after="0" w:line="240" w:lineRule="auto"/>
              <w:jc w:val="center"/>
              <w:rPr>
                <w:rFonts w:ascii="Century Schoolbook" w:eastAsia="Times New Roman" w:hAnsi="Century Schoolbook" w:cs="Times New Roman"/>
                <w:b/>
                <w:bCs/>
                <w:color w:val="002060"/>
                <w:kern w:val="0"/>
                <w:sz w:val="32"/>
                <w:szCs w:val="32"/>
                <w14:ligatures w14:val="none"/>
              </w:rPr>
            </w:pPr>
          </w:p>
        </w:tc>
        <w:tc>
          <w:tcPr>
            <w:tcW w:w="2693" w:type="dxa"/>
            <w:gridSpan w:val="3"/>
            <w:tcBorders>
              <w:top w:val="single" w:sz="8" w:space="0" w:color="auto"/>
              <w:left w:val="single" w:sz="8" w:space="0" w:color="auto"/>
              <w:bottom w:val="nil"/>
              <w:right w:val="single" w:sz="8" w:space="0" w:color="000000"/>
            </w:tcBorders>
            <w:shd w:val="clear" w:color="000000" w:fill="D6DCE4"/>
            <w:noWrap/>
            <w:vAlign w:val="center"/>
            <w:hideMark/>
          </w:tcPr>
          <w:p w14:paraId="5AD926C1" w14:textId="77777777" w:rsidR="00C06078" w:rsidRPr="00264C55" w:rsidRDefault="00C06078" w:rsidP="00C84D8F">
            <w:pPr>
              <w:spacing w:after="0" w:line="240" w:lineRule="auto"/>
              <w:jc w:val="center"/>
              <w:rPr>
                <w:rFonts w:ascii="Century Schoolbook" w:eastAsia="Times New Roman" w:hAnsi="Century Schoolbook" w:cs="Times New Roman"/>
                <w:b/>
                <w:bCs/>
                <w:color w:val="002060"/>
                <w:kern w:val="0"/>
                <w:sz w:val="32"/>
                <w:szCs w:val="32"/>
                <w14:ligatures w14:val="none"/>
              </w:rPr>
            </w:pPr>
            <w:r w:rsidRPr="00264C55">
              <w:rPr>
                <w:rFonts w:ascii="Century Schoolbook" w:eastAsia="Times New Roman" w:hAnsi="Century Schoolbook" w:cs="Times New Roman"/>
                <w:b/>
                <w:bCs/>
                <w:color w:val="002060"/>
                <w:kern w:val="0"/>
                <w:sz w:val="32"/>
                <w:szCs w:val="32"/>
                <w14:ligatures w14:val="none"/>
              </w:rPr>
              <w:t>Κλίμακα Νέα</w:t>
            </w:r>
          </w:p>
        </w:tc>
      </w:tr>
      <w:tr w:rsidR="00C06078" w:rsidRPr="00264C55" w14:paraId="55F5815A" w14:textId="77777777" w:rsidTr="00C84D8F">
        <w:trPr>
          <w:trHeight w:val="284"/>
        </w:trPr>
        <w:tc>
          <w:tcPr>
            <w:tcW w:w="967" w:type="dxa"/>
            <w:tcBorders>
              <w:top w:val="single" w:sz="8" w:space="0" w:color="auto"/>
              <w:left w:val="single" w:sz="8" w:space="0" w:color="auto"/>
              <w:bottom w:val="nil"/>
              <w:right w:val="nil"/>
            </w:tcBorders>
            <w:noWrap/>
            <w:vAlign w:val="center"/>
            <w:hideMark/>
          </w:tcPr>
          <w:p w14:paraId="2FE8DE1E" w14:textId="77777777" w:rsidR="00C06078" w:rsidRPr="00264C55" w:rsidRDefault="00C06078" w:rsidP="00C84D8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Από</w:t>
            </w:r>
          </w:p>
        </w:tc>
        <w:tc>
          <w:tcPr>
            <w:tcW w:w="878" w:type="dxa"/>
            <w:tcBorders>
              <w:top w:val="single" w:sz="8" w:space="0" w:color="auto"/>
              <w:left w:val="nil"/>
              <w:bottom w:val="nil"/>
              <w:right w:val="nil"/>
            </w:tcBorders>
            <w:noWrap/>
            <w:vAlign w:val="center"/>
            <w:hideMark/>
          </w:tcPr>
          <w:p w14:paraId="139E02F0" w14:textId="77777777" w:rsidR="00C06078" w:rsidRPr="00264C55" w:rsidRDefault="00C06078" w:rsidP="00C84D8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Έως</w:t>
            </w:r>
          </w:p>
        </w:tc>
        <w:tc>
          <w:tcPr>
            <w:tcW w:w="1387" w:type="dxa"/>
            <w:tcBorders>
              <w:top w:val="single" w:sz="8" w:space="0" w:color="auto"/>
              <w:left w:val="nil"/>
              <w:bottom w:val="nil"/>
              <w:right w:val="single" w:sz="8" w:space="0" w:color="auto"/>
            </w:tcBorders>
            <w:noWrap/>
            <w:vAlign w:val="center"/>
            <w:hideMark/>
          </w:tcPr>
          <w:p w14:paraId="2FE36317" w14:textId="77777777" w:rsidR="00C06078" w:rsidRPr="00264C55" w:rsidRDefault="00C06078" w:rsidP="00C84D8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Συντελεστ</w:t>
            </w:r>
            <w:r w:rsidRPr="00264C55">
              <w:rPr>
                <w:rFonts w:ascii="Century Schoolbook" w:eastAsia="Times New Roman" w:hAnsi="Century Schoolbook" w:cs="Times New Roman"/>
                <w:b/>
                <w:bCs/>
                <w:color w:val="000000"/>
                <w:kern w:val="0"/>
                <w:sz w:val="32"/>
                <w:szCs w:val="32"/>
                <w:lang w:val="el-GR"/>
                <w14:ligatures w14:val="none"/>
              </w:rPr>
              <w:t>ή</w:t>
            </w:r>
            <w:r w:rsidRPr="00264C55">
              <w:rPr>
                <w:rFonts w:ascii="Century Schoolbook" w:eastAsia="Times New Roman" w:hAnsi="Century Schoolbook" w:cs="Times New Roman"/>
                <w:b/>
                <w:bCs/>
                <w:color w:val="000000"/>
                <w:kern w:val="0"/>
                <w:sz w:val="32"/>
                <w:szCs w:val="32"/>
                <w14:ligatures w14:val="none"/>
              </w:rPr>
              <w:t>ς</w:t>
            </w:r>
          </w:p>
        </w:tc>
        <w:tc>
          <w:tcPr>
            <w:tcW w:w="312" w:type="dxa"/>
            <w:tcBorders>
              <w:top w:val="nil"/>
              <w:left w:val="nil"/>
              <w:bottom w:val="nil"/>
              <w:right w:val="nil"/>
            </w:tcBorders>
            <w:noWrap/>
            <w:vAlign w:val="center"/>
            <w:hideMark/>
          </w:tcPr>
          <w:p w14:paraId="415D4225" w14:textId="77777777" w:rsidR="00C06078" w:rsidRPr="00264C55" w:rsidRDefault="00C06078" w:rsidP="00C84D8F">
            <w:pPr>
              <w:spacing w:after="0" w:line="240" w:lineRule="auto"/>
              <w:jc w:val="center"/>
              <w:rPr>
                <w:rFonts w:ascii="Century Schoolbook" w:eastAsia="Times New Roman" w:hAnsi="Century Schoolbook" w:cs="Times New Roman"/>
                <w:b/>
                <w:bCs/>
                <w:color w:val="000000"/>
                <w:kern w:val="0"/>
                <w:sz w:val="32"/>
                <w:szCs w:val="32"/>
                <w14:ligatures w14:val="none"/>
              </w:rPr>
            </w:pPr>
          </w:p>
        </w:tc>
        <w:tc>
          <w:tcPr>
            <w:tcW w:w="850" w:type="dxa"/>
            <w:tcBorders>
              <w:top w:val="single" w:sz="8" w:space="0" w:color="auto"/>
              <w:left w:val="single" w:sz="8" w:space="0" w:color="auto"/>
              <w:bottom w:val="nil"/>
              <w:right w:val="nil"/>
            </w:tcBorders>
            <w:noWrap/>
            <w:vAlign w:val="center"/>
            <w:hideMark/>
          </w:tcPr>
          <w:p w14:paraId="31BF68A6" w14:textId="77777777" w:rsidR="00C06078" w:rsidRPr="00264C55" w:rsidRDefault="00C06078" w:rsidP="00C84D8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Από</w:t>
            </w:r>
          </w:p>
        </w:tc>
        <w:tc>
          <w:tcPr>
            <w:tcW w:w="767" w:type="dxa"/>
            <w:tcBorders>
              <w:top w:val="single" w:sz="8" w:space="0" w:color="auto"/>
              <w:left w:val="nil"/>
              <w:bottom w:val="nil"/>
              <w:right w:val="nil"/>
            </w:tcBorders>
            <w:noWrap/>
            <w:vAlign w:val="center"/>
            <w:hideMark/>
          </w:tcPr>
          <w:p w14:paraId="171E6EAA" w14:textId="77777777" w:rsidR="00C06078" w:rsidRPr="00264C55" w:rsidRDefault="00C06078" w:rsidP="00C84D8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Έως</w:t>
            </w:r>
          </w:p>
        </w:tc>
        <w:tc>
          <w:tcPr>
            <w:tcW w:w="1076" w:type="dxa"/>
            <w:tcBorders>
              <w:top w:val="single" w:sz="8" w:space="0" w:color="auto"/>
              <w:left w:val="nil"/>
              <w:bottom w:val="nil"/>
              <w:right w:val="single" w:sz="8" w:space="0" w:color="auto"/>
            </w:tcBorders>
            <w:noWrap/>
            <w:vAlign w:val="center"/>
            <w:hideMark/>
          </w:tcPr>
          <w:p w14:paraId="058838BE" w14:textId="77777777" w:rsidR="00C06078" w:rsidRPr="00264C55" w:rsidRDefault="00C06078" w:rsidP="00C84D8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Συντελεστ</w:t>
            </w:r>
            <w:r w:rsidRPr="00264C55">
              <w:rPr>
                <w:rFonts w:ascii="Century Schoolbook" w:eastAsia="Times New Roman" w:hAnsi="Century Schoolbook" w:cs="Times New Roman"/>
                <w:b/>
                <w:bCs/>
                <w:color w:val="000000"/>
                <w:kern w:val="0"/>
                <w:sz w:val="32"/>
                <w:szCs w:val="32"/>
                <w:lang w:val="el-GR"/>
                <w14:ligatures w14:val="none"/>
              </w:rPr>
              <w:t>ή</w:t>
            </w:r>
            <w:r w:rsidRPr="00264C55">
              <w:rPr>
                <w:rFonts w:ascii="Century Schoolbook" w:eastAsia="Times New Roman" w:hAnsi="Century Schoolbook" w:cs="Times New Roman"/>
                <w:b/>
                <w:bCs/>
                <w:color w:val="000000"/>
                <w:kern w:val="0"/>
                <w:sz w:val="32"/>
                <w:szCs w:val="32"/>
                <w14:ligatures w14:val="none"/>
              </w:rPr>
              <w:t>ς</w:t>
            </w:r>
          </w:p>
        </w:tc>
      </w:tr>
      <w:tr w:rsidR="00C06078" w:rsidRPr="00264C55" w14:paraId="39CDB59E" w14:textId="77777777" w:rsidTr="00C84D8F">
        <w:trPr>
          <w:trHeight w:val="284"/>
        </w:trPr>
        <w:tc>
          <w:tcPr>
            <w:tcW w:w="967" w:type="dxa"/>
            <w:tcBorders>
              <w:top w:val="nil"/>
              <w:left w:val="single" w:sz="8" w:space="0" w:color="auto"/>
              <w:bottom w:val="nil"/>
              <w:right w:val="nil"/>
            </w:tcBorders>
            <w:noWrap/>
            <w:vAlign w:val="center"/>
            <w:hideMark/>
          </w:tcPr>
          <w:p w14:paraId="4670399A" w14:textId="77777777" w:rsidR="00C06078" w:rsidRPr="00264C55" w:rsidRDefault="00C06078" w:rsidP="00C84D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0,01</w:t>
            </w:r>
          </w:p>
        </w:tc>
        <w:tc>
          <w:tcPr>
            <w:tcW w:w="878" w:type="dxa"/>
            <w:tcBorders>
              <w:top w:val="nil"/>
              <w:left w:val="nil"/>
              <w:bottom w:val="nil"/>
              <w:right w:val="nil"/>
            </w:tcBorders>
            <w:noWrap/>
            <w:vAlign w:val="center"/>
            <w:hideMark/>
          </w:tcPr>
          <w:p w14:paraId="5A5EB5F7" w14:textId="77777777" w:rsidR="00C06078" w:rsidRPr="00264C55" w:rsidRDefault="00C06078" w:rsidP="00C84D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12.000</w:t>
            </w:r>
          </w:p>
        </w:tc>
        <w:tc>
          <w:tcPr>
            <w:tcW w:w="1387" w:type="dxa"/>
            <w:tcBorders>
              <w:top w:val="nil"/>
              <w:left w:val="nil"/>
              <w:bottom w:val="nil"/>
              <w:right w:val="single" w:sz="8" w:space="0" w:color="auto"/>
            </w:tcBorders>
            <w:noWrap/>
            <w:vAlign w:val="center"/>
            <w:hideMark/>
          </w:tcPr>
          <w:p w14:paraId="7E77A995" w14:textId="77777777" w:rsidR="00C06078" w:rsidRPr="00264C55" w:rsidRDefault="00C06078" w:rsidP="00C84D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15,00%</w:t>
            </w:r>
          </w:p>
        </w:tc>
        <w:tc>
          <w:tcPr>
            <w:tcW w:w="312" w:type="dxa"/>
            <w:tcBorders>
              <w:top w:val="nil"/>
              <w:left w:val="nil"/>
              <w:bottom w:val="nil"/>
              <w:right w:val="nil"/>
            </w:tcBorders>
            <w:noWrap/>
            <w:vAlign w:val="center"/>
            <w:hideMark/>
          </w:tcPr>
          <w:p w14:paraId="4FB1A5B3" w14:textId="77777777" w:rsidR="00C06078" w:rsidRPr="00264C55" w:rsidRDefault="00C06078" w:rsidP="00C84D8F">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0" w:type="dxa"/>
            <w:tcBorders>
              <w:top w:val="nil"/>
              <w:left w:val="single" w:sz="8" w:space="0" w:color="auto"/>
              <w:bottom w:val="nil"/>
              <w:right w:val="nil"/>
            </w:tcBorders>
            <w:noWrap/>
            <w:vAlign w:val="center"/>
            <w:hideMark/>
          </w:tcPr>
          <w:p w14:paraId="6D2EA582" w14:textId="77777777" w:rsidR="00C06078" w:rsidRPr="00264C55" w:rsidRDefault="00C06078" w:rsidP="00C84D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0,01</w:t>
            </w:r>
          </w:p>
        </w:tc>
        <w:tc>
          <w:tcPr>
            <w:tcW w:w="767" w:type="dxa"/>
            <w:tcBorders>
              <w:top w:val="nil"/>
              <w:left w:val="nil"/>
              <w:bottom w:val="nil"/>
              <w:right w:val="nil"/>
            </w:tcBorders>
            <w:noWrap/>
            <w:vAlign w:val="center"/>
            <w:hideMark/>
          </w:tcPr>
          <w:p w14:paraId="31905221" w14:textId="77777777" w:rsidR="00C06078" w:rsidRPr="00264C55" w:rsidRDefault="00C06078" w:rsidP="00C84D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12.000</w:t>
            </w:r>
          </w:p>
        </w:tc>
        <w:tc>
          <w:tcPr>
            <w:tcW w:w="1076" w:type="dxa"/>
            <w:tcBorders>
              <w:top w:val="nil"/>
              <w:left w:val="nil"/>
              <w:bottom w:val="nil"/>
              <w:right w:val="single" w:sz="8" w:space="0" w:color="auto"/>
            </w:tcBorders>
            <w:noWrap/>
            <w:vAlign w:val="center"/>
            <w:hideMark/>
          </w:tcPr>
          <w:p w14:paraId="08AB9708" w14:textId="77777777" w:rsidR="00C06078" w:rsidRPr="00264C55" w:rsidRDefault="00C06078" w:rsidP="00C84D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15,00%</w:t>
            </w:r>
          </w:p>
        </w:tc>
      </w:tr>
      <w:tr w:rsidR="00C06078" w:rsidRPr="00264C55" w14:paraId="0BB524CD" w14:textId="77777777" w:rsidTr="00C84D8F">
        <w:trPr>
          <w:trHeight w:val="284"/>
        </w:trPr>
        <w:tc>
          <w:tcPr>
            <w:tcW w:w="967" w:type="dxa"/>
            <w:tcBorders>
              <w:top w:val="nil"/>
              <w:left w:val="single" w:sz="8" w:space="0" w:color="auto"/>
              <w:bottom w:val="nil"/>
              <w:right w:val="nil"/>
            </w:tcBorders>
            <w:noWrap/>
            <w:vAlign w:val="center"/>
            <w:hideMark/>
          </w:tcPr>
          <w:p w14:paraId="23BD5294" w14:textId="77777777" w:rsidR="00C06078" w:rsidRPr="00264C55" w:rsidRDefault="00C06078" w:rsidP="00C84D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12.000</w:t>
            </w:r>
          </w:p>
        </w:tc>
        <w:tc>
          <w:tcPr>
            <w:tcW w:w="878" w:type="dxa"/>
            <w:tcBorders>
              <w:top w:val="nil"/>
              <w:left w:val="nil"/>
              <w:bottom w:val="nil"/>
              <w:right w:val="nil"/>
            </w:tcBorders>
            <w:noWrap/>
            <w:vAlign w:val="center"/>
            <w:hideMark/>
          </w:tcPr>
          <w:p w14:paraId="3115CBFC" w14:textId="77777777" w:rsidR="00C06078" w:rsidRPr="00264C55" w:rsidRDefault="00C06078" w:rsidP="00C84D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35.000</w:t>
            </w:r>
          </w:p>
        </w:tc>
        <w:tc>
          <w:tcPr>
            <w:tcW w:w="1387" w:type="dxa"/>
            <w:tcBorders>
              <w:top w:val="nil"/>
              <w:left w:val="nil"/>
              <w:bottom w:val="nil"/>
              <w:right w:val="single" w:sz="8" w:space="0" w:color="auto"/>
            </w:tcBorders>
            <w:noWrap/>
            <w:vAlign w:val="center"/>
            <w:hideMark/>
          </w:tcPr>
          <w:p w14:paraId="2C3F62AE" w14:textId="77777777" w:rsidR="00C06078" w:rsidRPr="00264C55" w:rsidRDefault="00C06078" w:rsidP="00C84D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35,00%</w:t>
            </w:r>
          </w:p>
        </w:tc>
        <w:tc>
          <w:tcPr>
            <w:tcW w:w="312" w:type="dxa"/>
            <w:tcBorders>
              <w:top w:val="nil"/>
              <w:left w:val="nil"/>
              <w:bottom w:val="nil"/>
              <w:right w:val="nil"/>
            </w:tcBorders>
            <w:noWrap/>
            <w:vAlign w:val="center"/>
            <w:hideMark/>
          </w:tcPr>
          <w:p w14:paraId="16B988C7" w14:textId="77777777" w:rsidR="00C06078" w:rsidRPr="00264C55" w:rsidRDefault="00C06078" w:rsidP="00C84D8F">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0" w:type="dxa"/>
            <w:tcBorders>
              <w:top w:val="nil"/>
              <w:left w:val="single" w:sz="8" w:space="0" w:color="auto"/>
              <w:bottom w:val="nil"/>
              <w:right w:val="nil"/>
            </w:tcBorders>
            <w:noWrap/>
            <w:vAlign w:val="center"/>
            <w:hideMark/>
          </w:tcPr>
          <w:p w14:paraId="66C0EC6B" w14:textId="77777777" w:rsidR="00C06078" w:rsidRPr="00264C55" w:rsidRDefault="00C06078" w:rsidP="00C84D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12.000</w:t>
            </w:r>
          </w:p>
        </w:tc>
        <w:tc>
          <w:tcPr>
            <w:tcW w:w="767" w:type="dxa"/>
            <w:tcBorders>
              <w:top w:val="nil"/>
              <w:left w:val="nil"/>
              <w:bottom w:val="nil"/>
              <w:right w:val="nil"/>
            </w:tcBorders>
            <w:noWrap/>
            <w:vAlign w:val="center"/>
            <w:hideMark/>
          </w:tcPr>
          <w:p w14:paraId="123AB292" w14:textId="77777777" w:rsidR="00C06078" w:rsidRPr="00264C55" w:rsidRDefault="00C06078" w:rsidP="00C84D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24.000</w:t>
            </w:r>
          </w:p>
        </w:tc>
        <w:tc>
          <w:tcPr>
            <w:tcW w:w="1076" w:type="dxa"/>
            <w:tcBorders>
              <w:top w:val="nil"/>
              <w:left w:val="nil"/>
              <w:bottom w:val="nil"/>
              <w:right w:val="single" w:sz="8" w:space="0" w:color="auto"/>
            </w:tcBorders>
            <w:noWrap/>
            <w:vAlign w:val="center"/>
            <w:hideMark/>
          </w:tcPr>
          <w:p w14:paraId="70E13B84" w14:textId="77777777" w:rsidR="00C06078" w:rsidRPr="00264C55" w:rsidRDefault="00C06078" w:rsidP="00C84D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25,00%</w:t>
            </w:r>
          </w:p>
        </w:tc>
      </w:tr>
      <w:tr w:rsidR="00C06078" w:rsidRPr="00264C55" w14:paraId="7DD38920" w14:textId="77777777" w:rsidTr="00C84D8F">
        <w:trPr>
          <w:trHeight w:val="284"/>
        </w:trPr>
        <w:tc>
          <w:tcPr>
            <w:tcW w:w="967" w:type="dxa"/>
            <w:tcBorders>
              <w:top w:val="nil"/>
              <w:left w:val="single" w:sz="8" w:space="0" w:color="auto"/>
              <w:bottom w:val="single" w:sz="8" w:space="0" w:color="auto"/>
              <w:right w:val="nil"/>
            </w:tcBorders>
            <w:noWrap/>
            <w:vAlign w:val="center"/>
            <w:hideMark/>
          </w:tcPr>
          <w:p w14:paraId="3F518B0A" w14:textId="77777777" w:rsidR="00C06078" w:rsidRPr="00264C55" w:rsidRDefault="00C06078" w:rsidP="00C84D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lastRenderedPageBreak/>
              <w:t>&gt;35</w:t>
            </w:r>
            <w:r w:rsidRPr="00264C55">
              <w:rPr>
                <w:rFonts w:ascii="Century Schoolbook" w:eastAsia="Times New Roman" w:hAnsi="Century Schoolbook" w:cs="Times New Roman"/>
                <w:color w:val="000000"/>
                <w:kern w:val="0"/>
                <w:sz w:val="32"/>
                <w:szCs w:val="32"/>
                <w:lang w:val="el-GR"/>
                <w14:ligatures w14:val="none"/>
              </w:rPr>
              <w:t>.</w:t>
            </w:r>
            <w:r w:rsidRPr="00264C55">
              <w:rPr>
                <w:rFonts w:ascii="Century Schoolbook" w:eastAsia="Times New Roman" w:hAnsi="Century Schoolbook" w:cs="Times New Roman"/>
                <w:color w:val="000000"/>
                <w:kern w:val="0"/>
                <w:sz w:val="32"/>
                <w:szCs w:val="32"/>
                <w14:ligatures w14:val="none"/>
              </w:rPr>
              <w:t>000</w:t>
            </w:r>
          </w:p>
        </w:tc>
        <w:tc>
          <w:tcPr>
            <w:tcW w:w="878" w:type="dxa"/>
            <w:tcBorders>
              <w:top w:val="nil"/>
              <w:left w:val="nil"/>
              <w:bottom w:val="single" w:sz="8" w:space="0" w:color="auto"/>
              <w:right w:val="nil"/>
            </w:tcBorders>
            <w:noWrap/>
            <w:vAlign w:val="center"/>
            <w:hideMark/>
          </w:tcPr>
          <w:p w14:paraId="364FCBCF" w14:textId="77777777" w:rsidR="00C06078" w:rsidRPr="00264C55" w:rsidRDefault="00C06078" w:rsidP="00C84D8F">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c>
          <w:tcPr>
            <w:tcW w:w="1387" w:type="dxa"/>
            <w:tcBorders>
              <w:top w:val="nil"/>
              <w:left w:val="nil"/>
              <w:bottom w:val="single" w:sz="8" w:space="0" w:color="auto"/>
              <w:right w:val="single" w:sz="8" w:space="0" w:color="auto"/>
            </w:tcBorders>
            <w:noWrap/>
            <w:vAlign w:val="center"/>
            <w:hideMark/>
          </w:tcPr>
          <w:p w14:paraId="2E4AA17D" w14:textId="77777777" w:rsidR="00C06078" w:rsidRPr="00264C55" w:rsidRDefault="00C06078" w:rsidP="00C84D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45,00%</w:t>
            </w:r>
          </w:p>
        </w:tc>
        <w:tc>
          <w:tcPr>
            <w:tcW w:w="312" w:type="dxa"/>
            <w:tcBorders>
              <w:top w:val="nil"/>
              <w:left w:val="nil"/>
              <w:bottom w:val="nil"/>
              <w:right w:val="nil"/>
            </w:tcBorders>
            <w:noWrap/>
            <w:vAlign w:val="center"/>
            <w:hideMark/>
          </w:tcPr>
          <w:p w14:paraId="0021F15C" w14:textId="77777777" w:rsidR="00C06078" w:rsidRPr="00264C55" w:rsidRDefault="00C06078" w:rsidP="00C84D8F">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0" w:type="dxa"/>
            <w:tcBorders>
              <w:top w:val="nil"/>
              <w:left w:val="single" w:sz="8" w:space="0" w:color="auto"/>
              <w:bottom w:val="nil"/>
              <w:right w:val="nil"/>
            </w:tcBorders>
            <w:noWrap/>
            <w:vAlign w:val="center"/>
            <w:hideMark/>
          </w:tcPr>
          <w:p w14:paraId="31350BB2" w14:textId="77777777" w:rsidR="00C06078" w:rsidRPr="00264C55" w:rsidRDefault="00C06078" w:rsidP="00C84D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24.000</w:t>
            </w:r>
          </w:p>
        </w:tc>
        <w:tc>
          <w:tcPr>
            <w:tcW w:w="767" w:type="dxa"/>
            <w:tcBorders>
              <w:top w:val="nil"/>
              <w:left w:val="nil"/>
              <w:bottom w:val="nil"/>
              <w:right w:val="nil"/>
            </w:tcBorders>
            <w:noWrap/>
            <w:vAlign w:val="center"/>
            <w:hideMark/>
          </w:tcPr>
          <w:p w14:paraId="5B0E8B1F" w14:textId="77777777" w:rsidR="00C06078" w:rsidRPr="00264C55" w:rsidRDefault="00C06078" w:rsidP="00C84D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36.000</w:t>
            </w:r>
          </w:p>
        </w:tc>
        <w:tc>
          <w:tcPr>
            <w:tcW w:w="1076" w:type="dxa"/>
            <w:tcBorders>
              <w:top w:val="nil"/>
              <w:left w:val="nil"/>
              <w:bottom w:val="nil"/>
              <w:right w:val="single" w:sz="8" w:space="0" w:color="auto"/>
            </w:tcBorders>
            <w:noWrap/>
            <w:vAlign w:val="center"/>
            <w:hideMark/>
          </w:tcPr>
          <w:p w14:paraId="57FC1C39" w14:textId="77777777" w:rsidR="00C06078" w:rsidRPr="00264C55" w:rsidRDefault="00C06078" w:rsidP="00C84D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35,00%</w:t>
            </w:r>
          </w:p>
        </w:tc>
      </w:tr>
      <w:tr w:rsidR="00C06078" w:rsidRPr="00264C55" w14:paraId="3DF7F7FD" w14:textId="77777777" w:rsidTr="00C84D8F">
        <w:trPr>
          <w:trHeight w:val="284"/>
        </w:trPr>
        <w:tc>
          <w:tcPr>
            <w:tcW w:w="967" w:type="dxa"/>
            <w:tcBorders>
              <w:top w:val="nil"/>
              <w:left w:val="nil"/>
              <w:bottom w:val="nil"/>
              <w:right w:val="nil"/>
            </w:tcBorders>
            <w:noWrap/>
            <w:vAlign w:val="center"/>
            <w:hideMark/>
          </w:tcPr>
          <w:p w14:paraId="37408956" w14:textId="77777777" w:rsidR="00C06078" w:rsidRPr="00264C55" w:rsidRDefault="00C06078" w:rsidP="00C84D8F">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78" w:type="dxa"/>
            <w:tcBorders>
              <w:top w:val="nil"/>
              <w:left w:val="nil"/>
              <w:bottom w:val="nil"/>
              <w:right w:val="nil"/>
            </w:tcBorders>
            <w:noWrap/>
            <w:vAlign w:val="center"/>
            <w:hideMark/>
          </w:tcPr>
          <w:p w14:paraId="41E173B2" w14:textId="77777777" w:rsidR="00C06078" w:rsidRPr="00264C55" w:rsidRDefault="00C06078" w:rsidP="00C84D8F">
            <w:pPr>
              <w:spacing w:after="0" w:line="240" w:lineRule="auto"/>
              <w:rPr>
                <w:rFonts w:ascii="Times New Roman" w:eastAsia="Times New Roman" w:hAnsi="Times New Roman" w:cs="Times New Roman"/>
                <w:kern w:val="0"/>
                <w:sz w:val="32"/>
                <w:szCs w:val="32"/>
                <w14:ligatures w14:val="none"/>
              </w:rPr>
            </w:pPr>
          </w:p>
        </w:tc>
        <w:tc>
          <w:tcPr>
            <w:tcW w:w="1387" w:type="dxa"/>
            <w:tcBorders>
              <w:top w:val="nil"/>
              <w:left w:val="nil"/>
              <w:bottom w:val="nil"/>
              <w:right w:val="nil"/>
            </w:tcBorders>
            <w:noWrap/>
            <w:vAlign w:val="center"/>
            <w:hideMark/>
          </w:tcPr>
          <w:p w14:paraId="01204A23" w14:textId="77777777" w:rsidR="00C06078" w:rsidRPr="00264C55" w:rsidRDefault="00C06078" w:rsidP="00C84D8F">
            <w:pPr>
              <w:spacing w:after="0" w:line="240" w:lineRule="auto"/>
              <w:rPr>
                <w:rFonts w:ascii="Times New Roman" w:eastAsia="Times New Roman" w:hAnsi="Times New Roman" w:cs="Times New Roman"/>
                <w:kern w:val="0"/>
                <w:sz w:val="32"/>
                <w:szCs w:val="32"/>
                <w14:ligatures w14:val="none"/>
              </w:rPr>
            </w:pPr>
          </w:p>
        </w:tc>
        <w:tc>
          <w:tcPr>
            <w:tcW w:w="312" w:type="dxa"/>
            <w:tcBorders>
              <w:top w:val="nil"/>
              <w:left w:val="nil"/>
              <w:bottom w:val="nil"/>
              <w:right w:val="nil"/>
            </w:tcBorders>
            <w:noWrap/>
            <w:vAlign w:val="center"/>
            <w:hideMark/>
          </w:tcPr>
          <w:p w14:paraId="4EC8C55B" w14:textId="77777777" w:rsidR="00C06078" w:rsidRPr="00264C55" w:rsidRDefault="00C06078" w:rsidP="00C84D8F">
            <w:pPr>
              <w:spacing w:after="0" w:line="240" w:lineRule="auto"/>
              <w:rPr>
                <w:rFonts w:ascii="Times New Roman" w:eastAsia="Times New Roman" w:hAnsi="Times New Roman" w:cs="Times New Roman"/>
                <w:kern w:val="0"/>
                <w:sz w:val="32"/>
                <w:szCs w:val="32"/>
                <w14:ligatures w14:val="none"/>
              </w:rPr>
            </w:pPr>
          </w:p>
        </w:tc>
        <w:tc>
          <w:tcPr>
            <w:tcW w:w="850" w:type="dxa"/>
            <w:tcBorders>
              <w:top w:val="nil"/>
              <w:left w:val="single" w:sz="8" w:space="0" w:color="auto"/>
              <w:bottom w:val="single" w:sz="8" w:space="0" w:color="auto"/>
              <w:right w:val="nil"/>
            </w:tcBorders>
            <w:noWrap/>
            <w:vAlign w:val="center"/>
            <w:hideMark/>
          </w:tcPr>
          <w:p w14:paraId="07480716" w14:textId="77777777" w:rsidR="00C06078" w:rsidRPr="00264C55" w:rsidRDefault="00C06078" w:rsidP="00C84D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&gt;36</w:t>
            </w:r>
            <w:r w:rsidRPr="00264C55">
              <w:rPr>
                <w:rFonts w:ascii="Century Schoolbook" w:eastAsia="Times New Roman" w:hAnsi="Century Schoolbook" w:cs="Times New Roman"/>
                <w:color w:val="000000"/>
                <w:kern w:val="0"/>
                <w:sz w:val="32"/>
                <w:szCs w:val="32"/>
                <w:lang w:val="el-GR"/>
                <w14:ligatures w14:val="none"/>
              </w:rPr>
              <w:t>.</w:t>
            </w:r>
            <w:r w:rsidRPr="00264C55">
              <w:rPr>
                <w:rFonts w:ascii="Century Schoolbook" w:eastAsia="Times New Roman" w:hAnsi="Century Schoolbook" w:cs="Times New Roman"/>
                <w:color w:val="000000"/>
                <w:kern w:val="0"/>
                <w:sz w:val="32"/>
                <w:szCs w:val="32"/>
                <w14:ligatures w14:val="none"/>
              </w:rPr>
              <w:t>000</w:t>
            </w:r>
          </w:p>
        </w:tc>
        <w:tc>
          <w:tcPr>
            <w:tcW w:w="767" w:type="dxa"/>
            <w:tcBorders>
              <w:top w:val="nil"/>
              <w:left w:val="nil"/>
              <w:bottom w:val="single" w:sz="8" w:space="0" w:color="auto"/>
              <w:right w:val="nil"/>
            </w:tcBorders>
            <w:noWrap/>
            <w:vAlign w:val="center"/>
            <w:hideMark/>
          </w:tcPr>
          <w:p w14:paraId="71447975" w14:textId="77777777" w:rsidR="00C06078" w:rsidRPr="00264C55" w:rsidRDefault="00C06078" w:rsidP="00C84D8F">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c>
          <w:tcPr>
            <w:tcW w:w="1076" w:type="dxa"/>
            <w:tcBorders>
              <w:top w:val="nil"/>
              <w:left w:val="nil"/>
              <w:bottom w:val="single" w:sz="8" w:space="0" w:color="auto"/>
              <w:right w:val="single" w:sz="8" w:space="0" w:color="auto"/>
            </w:tcBorders>
            <w:noWrap/>
            <w:vAlign w:val="center"/>
            <w:hideMark/>
          </w:tcPr>
          <w:p w14:paraId="6AF46C9F" w14:textId="77777777" w:rsidR="00C06078" w:rsidRPr="00264C55" w:rsidRDefault="00C06078" w:rsidP="00C84D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45,00%</w:t>
            </w:r>
          </w:p>
        </w:tc>
      </w:tr>
    </w:tbl>
    <w:p w14:paraId="6CF171DC" w14:textId="77777777" w:rsidR="00C06078" w:rsidRPr="00264C55" w:rsidRDefault="00C06078" w:rsidP="00C06078">
      <w:pPr>
        <w:ind w:left="720"/>
        <w:rPr>
          <w:b/>
          <w:bCs/>
          <w:sz w:val="32"/>
          <w:szCs w:val="32"/>
          <w:lang w:val="el-GR"/>
        </w:rPr>
      </w:pPr>
    </w:p>
    <w:p w14:paraId="05A9F3AB" w14:textId="77777777" w:rsidR="00C06078" w:rsidRPr="00264C55" w:rsidRDefault="00C06078" w:rsidP="00C06078">
      <w:pPr>
        <w:ind w:left="720"/>
        <w:rPr>
          <w:b/>
          <w:bCs/>
          <w:sz w:val="32"/>
          <w:szCs w:val="32"/>
          <w:lang w:val="el-GR"/>
        </w:rPr>
      </w:pPr>
      <w:r w:rsidRPr="00264C55">
        <w:rPr>
          <w:b/>
          <w:bCs/>
          <w:sz w:val="32"/>
          <w:szCs w:val="32"/>
          <w:lang w:val="el-GR"/>
        </w:rPr>
        <w:t>Μείωση φόρου εισοδήματος από ακίνητα</w:t>
      </w:r>
    </w:p>
    <w:tbl>
      <w:tblPr>
        <w:tblW w:w="4680" w:type="dxa"/>
        <w:tblInd w:w="699" w:type="dxa"/>
        <w:tblLook w:val="04A0" w:firstRow="1" w:lastRow="0" w:firstColumn="1" w:lastColumn="0" w:noHBand="0" w:noVBand="1"/>
      </w:tblPr>
      <w:tblGrid>
        <w:gridCol w:w="1831"/>
        <w:gridCol w:w="1446"/>
        <w:gridCol w:w="1273"/>
        <w:gridCol w:w="1496"/>
      </w:tblGrid>
      <w:tr w:rsidR="00C06078" w:rsidRPr="00264C55" w14:paraId="3B74FD2B" w14:textId="77777777" w:rsidTr="00C84D8F">
        <w:trPr>
          <w:trHeight w:val="170"/>
        </w:trPr>
        <w:tc>
          <w:tcPr>
            <w:tcW w:w="1300" w:type="dxa"/>
            <w:tcBorders>
              <w:top w:val="single" w:sz="8" w:space="0" w:color="auto"/>
              <w:left w:val="single" w:sz="8" w:space="0" w:color="auto"/>
              <w:bottom w:val="nil"/>
              <w:right w:val="nil"/>
            </w:tcBorders>
            <w:noWrap/>
            <w:vAlign w:val="center"/>
            <w:hideMark/>
          </w:tcPr>
          <w:p w14:paraId="63F5AC94" w14:textId="77777777" w:rsidR="00C06078" w:rsidRPr="00264C55" w:rsidRDefault="00C06078" w:rsidP="00C84D8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Εισόδημα</w:t>
            </w:r>
          </w:p>
        </w:tc>
        <w:tc>
          <w:tcPr>
            <w:tcW w:w="1300" w:type="dxa"/>
            <w:tcBorders>
              <w:top w:val="single" w:sz="8" w:space="0" w:color="auto"/>
              <w:left w:val="nil"/>
              <w:bottom w:val="nil"/>
              <w:right w:val="nil"/>
            </w:tcBorders>
            <w:shd w:val="clear" w:color="000000" w:fill="F2F2F2"/>
            <w:noWrap/>
            <w:vAlign w:val="center"/>
            <w:hideMark/>
          </w:tcPr>
          <w:p w14:paraId="62EA9237" w14:textId="77777777" w:rsidR="00C06078" w:rsidRPr="00264C55" w:rsidRDefault="00C06078" w:rsidP="00C84D8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Φόρος σήμερα</w:t>
            </w:r>
          </w:p>
        </w:tc>
        <w:tc>
          <w:tcPr>
            <w:tcW w:w="1060" w:type="dxa"/>
            <w:tcBorders>
              <w:top w:val="single" w:sz="8" w:space="0" w:color="auto"/>
              <w:left w:val="nil"/>
              <w:bottom w:val="nil"/>
              <w:right w:val="nil"/>
            </w:tcBorders>
            <w:shd w:val="clear" w:color="000000" w:fill="0070C0"/>
            <w:noWrap/>
            <w:vAlign w:val="center"/>
            <w:hideMark/>
          </w:tcPr>
          <w:p w14:paraId="5BF829C3" w14:textId="77777777" w:rsidR="00C06078" w:rsidRPr="00264C55" w:rsidRDefault="00C06078" w:rsidP="00C84D8F">
            <w:pPr>
              <w:spacing w:after="0" w:line="240" w:lineRule="auto"/>
              <w:jc w:val="center"/>
              <w:rPr>
                <w:rFonts w:ascii="Century Schoolbook" w:eastAsia="Times New Roman" w:hAnsi="Century Schoolbook" w:cs="Times New Roman"/>
                <w:b/>
                <w:bCs/>
                <w:color w:val="FFFFFF"/>
                <w:kern w:val="0"/>
                <w:sz w:val="32"/>
                <w:szCs w:val="32"/>
                <w14:ligatures w14:val="none"/>
              </w:rPr>
            </w:pPr>
            <w:r w:rsidRPr="00264C55">
              <w:rPr>
                <w:rFonts w:ascii="Century Schoolbook" w:eastAsia="Times New Roman" w:hAnsi="Century Schoolbook" w:cs="Times New Roman"/>
                <w:b/>
                <w:bCs/>
                <w:color w:val="FFFFFF"/>
                <w:kern w:val="0"/>
                <w:sz w:val="32"/>
                <w:szCs w:val="32"/>
                <w14:ligatures w14:val="none"/>
              </w:rPr>
              <w:t>Φόρος νέος</w:t>
            </w:r>
          </w:p>
        </w:tc>
        <w:tc>
          <w:tcPr>
            <w:tcW w:w="1020" w:type="dxa"/>
            <w:tcBorders>
              <w:top w:val="single" w:sz="8" w:space="0" w:color="auto"/>
              <w:left w:val="nil"/>
              <w:bottom w:val="nil"/>
              <w:right w:val="single" w:sz="8" w:space="0" w:color="auto"/>
            </w:tcBorders>
            <w:shd w:val="clear" w:color="000000" w:fill="C00000"/>
            <w:noWrap/>
            <w:vAlign w:val="center"/>
            <w:hideMark/>
          </w:tcPr>
          <w:p w14:paraId="5A66F940" w14:textId="77777777" w:rsidR="00C06078" w:rsidRPr="00264C55" w:rsidRDefault="00C06078" w:rsidP="00C84D8F">
            <w:pPr>
              <w:spacing w:after="0" w:line="240" w:lineRule="auto"/>
              <w:jc w:val="center"/>
              <w:rPr>
                <w:rFonts w:ascii="Century Schoolbook" w:eastAsia="Times New Roman" w:hAnsi="Century Schoolbook" w:cs="Times New Roman"/>
                <w:b/>
                <w:bCs/>
                <w:color w:val="FFFFFF"/>
                <w:kern w:val="0"/>
                <w:sz w:val="32"/>
                <w:szCs w:val="32"/>
                <w14:ligatures w14:val="none"/>
              </w:rPr>
            </w:pPr>
            <w:r w:rsidRPr="00264C55">
              <w:rPr>
                <w:rFonts w:ascii="Century Schoolbook" w:eastAsia="Times New Roman" w:hAnsi="Century Schoolbook" w:cs="Times New Roman"/>
                <w:b/>
                <w:bCs/>
                <w:color w:val="FFFFFF"/>
                <w:kern w:val="0"/>
                <w:sz w:val="32"/>
                <w:szCs w:val="32"/>
                <w14:ligatures w14:val="none"/>
              </w:rPr>
              <w:t>Μείωση φόρου</w:t>
            </w:r>
          </w:p>
        </w:tc>
      </w:tr>
      <w:tr w:rsidR="00C06078" w:rsidRPr="00264C55" w14:paraId="17385B7C" w14:textId="77777777" w:rsidTr="00C84D8F">
        <w:trPr>
          <w:trHeight w:val="170"/>
        </w:trPr>
        <w:tc>
          <w:tcPr>
            <w:tcW w:w="1300" w:type="dxa"/>
            <w:tcBorders>
              <w:top w:val="single" w:sz="8" w:space="0" w:color="auto"/>
              <w:left w:val="single" w:sz="8" w:space="0" w:color="auto"/>
              <w:bottom w:val="nil"/>
              <w:right w:val="nil"/>
            </w:tcBorders>
            <w:noWrap/>
            <w:vAlign w:val="center"/>
            <w:hideMark/>
          </w:tcPr>
          <w:p w14:paraId="12212A33" w14:textId="77777777" w:rsidR="00C06078" w:rsidRPr="00264C55" w:rsidRDefault="00C06078" w:rsidP="00C84D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15.000</w:t>
            </w:r>
          </w:p>
        </w:tc>
        <w:tc>
          <w:tcPr>
            <w:tcW w:w="1300" w:type="dxa"/>
            <w:tcBorders>
              <w:top w:val="single" w:sz="8" w:space="0" w:color="auto"/>
              <w:left w:val="nil"/>
              <w:bottom w:val="nil"/>
              <w:right w:val="nil"/>
            </w:tcBorders>
            <w:noWrap/>
            <w:vAlign w:val="center"/>
            <w:hideMark/>
          </w:tcPr>
          <w:p w14:paraId="1D5C9642" w14:textId="77777777" w:rsidR="00C06078" w:rsidRPr="00264C55" w:rsidRDefault="00C06078" w:rsidP="00C84D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2.850 </w:t>
            </w:r>
          </w:p>
        </w:tc>
        <w:tc>
          <w:tcPr>
            <w:tcW w:w="1060" w:type="dxa"/>
            <w:tcBorders>
              <w:top w:val="single" w:sz="8" w:space="0" w:color="auto"/>
              <w:left w:val="nil"/>
              <w:bottom w:val="nil"/>
              <w:right w:val="nil"/>
            </w:tcBorders>
            <w:noWrap/>
            <w:vAlign w:val="center"/>
            <w:hideMark/>
          </w:tcPr>
          <w:p w14:paraId="03FD3081" w14:textId="77777777" w:rsidR="00C06078" w:rsidRPr="00264C55" w:rsidRDefault="00C06078" w:rsidP="00C84D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2.550 </w:t>
            </w:r>
          </w:p>
        </w:tc>
        <w:tc>
          <w:tcPr>
            <w:tcW w:w="1020" w:type="dxa"/>
            <w:tcBorders>
              <w:top w:val="single" w:sz="8" w:space="0" w:color="auto"/>
              <w:left w:val="nil"/>
              <w:bottom w:val="nil"/>
              <w:right w:val="single" w:sz="8" w:space="0" w:color="auto"/>
            </w:tcBorders>
            <w:noWrap/>
            <w:vAlign w:val="center"/>
            <w:hideMark/>
          </w:tcPr>
          <w:p w14:paraId="233A8621" w14:textId="77777777" w:rsidR="00C06078" w:rsidRPr="00264C55" w:rsidRDefault="00C06078" w:rsidP="00C84D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-300 </w:t>
            </w:r>
          </w:p>
        </w:tc>
      </w:tr>
      <w:tr w:rsidR="00C06078" w:rsidRPr="00264C55" w14:paraId="6E6C9529" w14:textId="77777777" w:rsidTr="00C84D8F">
        <w:trPr>
          <w:trHeight w:val="170"/>
        </w:trPr>
        <w:tc>
          <w:tcPr>
            <w:tcW w:w="1300" w:type="dxa"/>
            <w:tcBorders>
              <w:top w:val="nil"/>
              <w:left w:val="single" w:sz="8" w:space="0" w:color="auto"/>
              <w:bottom w:val="nil"/>
              <w:right w:val="nil"/>
            </w:tcBorders>
            <w:noWrap/>
            <w:vAlign w:val="center"/>
            <w:hideMark/>
          </w:tcPr>
          <w:p w14:paraId="681A6010" w14:textId="77777777" w:rsidR="00C06078" w:rsidRPr="00264C55" w:rsidRDefault="00C06078" w:rsidP="00C84D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20.000</w:t>
            </w:r>
          </w:p>
        </w:tc>
        <w:tc>
          <w:tcPr>
            <w:tcW w:w="1300" w:type="dxa"/>
            <w:tcBorders>
              <w:top w:val="nil"/>
              <w:left w:val="nil"/>
              <w:bottom w:val="nil"/>
              <w:right w:val="nil"/>
            </w:tcBorders>
            <w:noWrap/>
            <w:vAlign w:val="center"/>
            <w:hideMark/>
          </w:tcPr>
          <w:p w14:paraId="56E4329B" w14:textId="77777777" w:rsidR="00C06078" w:rsidRPr="00264C55" w:rsidRDefault="00C06078" w:rsidP="00C84D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4.600 </w:t>
            </w:r>
          </w:p>
        </w:tc>
        <w:tc>
          <w:tcPr>
            <w:tcW w:w="1060" w:type="dxa"/>
            <w:tcBorders>
              <w:top w:val="nil"/>
              <w:left w:val="nil"/>
              <w:bottom w:val="nil"/>
              <w:right w:val="nil"/>
            </w:tcBorders>
            <w:noWrap/>
            <w:vAlign w:val="center"/>
            <w:hideMark/>
          </w:tcPr>
          <w:p w14:paraId="0B765AA0" w14:textId="77777777" w:rsidR="00C06078" w:rsidRPr="00264C55" w:rsidRDefault="00C06078" w:rsidP="00C84D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3.800 </w:t>
            </w:r>
          </w:p>
        </w:tc>
        <w:tc>
          <w:tcPr>
            <w:tcW w:w="1020" w:type="dxa"/>
            <w:tcBorders>
              <w:top w:val="nil"/>
              <w:left w:val="nil"/>
              <w:bottom w:val="nil"/>
              <w:right w:val="single" w:sz="8" w:space="0" w:color="auto"/>
            </w:tcBorders>
            <w:noWrap/>
            <w:vAlign w:val="center"/>
            <w:hideMark/>
          </w:tcPr>
          <w:p w14:paraId="567F5855" w14:textId="77777777" w:rsidR="00C06078" w:rsidRPr="00264C55" w:rsidRDefault="00C06078" w:rsidP="00C84D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-800 </w:t>
            </w:r>
          </w:p>
        </w:tc>
      </w:tr>
      <w:tr w:rsidR="00C06078" w:rsidRPr="00264C55" w14:paraId="5C15AF4D" w14:textId="77777777" w:rsidTr="00C84D8F">
        <w:trPr>
          <w:trHeight w:val="170"/>
        </w:trPr>
        <w:tc>
          <w:tcPr>
            <w:tcW w:w="1300" w:type="dxa"/>
            <w:tcBorders>
              <w:top w:val="nil"/>
              <w:left w:val="single" w:sz="8" w:space="0" w:color="auto"/>
              <w:bottom w:val="nil"/>
              <w:right w:val="nil"/>
            </w:tcBorders>
            <w:noWrap/>
            <w:vAlign w:val="center"/>
            <w:hideMark/>
          </w:tcPr>
          <w:p w14:paraId="56A32F64" w14:textId="77777777" w:rsidR="00C06078" w:rsidRPr="00264C55" w:rsidRDefault="00C06078" w:rsidP="00C84D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25.000</w:t>
            </w:r>
          </w:p>
        </w:tc>
        <w:tc>
          <w:tcPr>
            <w:tcW w:w="1300" w:type="dxa"/>
            <w:tcBorders>
              <w:top w:val="nil"/>
              <w:left w:val="nil"/>
              <w:bottom w:val="nil"/>
              <w:right w:val="nil"/>
            </w:tcBorders>
            <w:noWrap/>
            <w:vAlign w:val="center"/>
            <w:hideMark/>
          </w:tcPr>
          <w:p w14:paraId="4D5E05F0" w14:textId="77777777" w:rsidR="00C06078" w:rsidRPr="00264C55" w:rsidRDefault="00C06078" w:rsidP="00C84D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6.350 </w:t>
            </w:r>
          </w:p>
        </w:tc>
        <w:tc>
          <w:tcPr>
            <w:tcW w:w="1060" w:type="dxa"/>
            <w:tcBorders>
              <w:top w:val="nil"/>
              <w:left w:val="nil"/>
              <w:bottom w:val="nil"/>
              <w:right w:val="nil"/>
            </w:tcBorders>
            <w:noWrap/>
            <w:vAlign w:val="center"/>
            <w:hideMark/>
          </w:tcPr>
          <w:p w14:paraId="2B16B6A2" w14:textId="77777777" w:rsidR="00C06078" w:rsidRPr="00264C55" w:rsidRDefault="00C06078" w:rsidP="00C84D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5.150 </w:t>
            </w:r>
          </w:p>
        </w:tc>
        <w:tc>
          <w:tcPr>
            <w:tcW w:w="1020" w:type="dxa"/>
            <w:tcBorders>
              <w:top w:val="nil"/>
              <w:left w:val="nil"/>
              <w:bottom w:val="nil"/>
              <w:right w:val="single" w:sz="8" w:space="0" w:color="auto"/>
            </w:tcBorders>
            <w:noWrap/>
            <w:vAlign w:val="center"/>
            <w:hideMark/>
          </w:tcPr>
          <w:p w14:paraId="216934A7" w14:textId="77777777" w:rsidR="00C06078" w:rsidRPr="00264C55" w:rsidRDefault="00C06078" w:rsidP="00C84D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-1.200 </w:t>
            </w:r>
          </w:p>
        </w:tc>
      </w:tr>
      <w:tr w:rsidR="00C06078" w:rsidRPr="00264C55" w14:paraId="232542B5" w14:textId="77777777" w:rsidTr="00C84D8F">
        <w:trPr>
          <w:trHeight w:val="170"/>
        </w:trPr>
        <w:tc>
          <w:tcPr>
            <w:tcW w:w="1300" w:type="dxa"/>
            <w:tcBorders>
              <w:top w:val="nil"/>
              <w:left w:val="single" w:sz="8" w:space="0" w:color="auto"/>
              <w:bottom w:val="nil"/>
              <w:right w:val="nil"/>
            </w:tcBorders>
            <w:noWrap/>
            <w:vAlign w:val="center"/>
            <w:hideMark/>
          </w:tcPr>
          <w:p w14:paraId="46F3057F" w14:textId="77777777" w:rsidR="00C06078" w:rsidRPr="00264C55" w:rsidRDefault="00C06078" w:rsidP="00C84D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30.000</w:t>
            </w:r>
          </w:p>
        </w:tc>
        <w:tc>
          <w:tcPr>
            <w:tcW w:w="1300" w:type="dxa"/>
            <w:tcBorders>
              <w:top w:val="nil"/>
              <w:left w:val="nil"/>
              <w:bottom w:val="nil"/>
              <w:right w:val="nil"/>
            </w:tcBorders>
            <w:noWrap/>
            <w:vAlign w:val="center"/>
            <w:hideMark/>
          </w:tcPr>
          <w:p w14:paraId="7426C1E2" w14:textId="77777777" w:rsidR="00C06078" w:rsidRPr="00264C55" w:rsidRDefault="00C06078" w:rsidP="00C84D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8.100 </w:t>
            </w:r>
          </w:p>
        </w:tc>
        <w:tc>
          <w:tcPr>
            <w:tcW w:w="1060" w:type="dxa"/>
            <w:tcBorders>
              <w:top w:val="nil"/>
              <w:left w:val="nil"/>
              <w:bottom w:val="nil"/>
              <w:right w:val="nil"/>
            </w:tcBorders>
            <w:noWrap/>
            <w:vAlign w:val="center"/>
            <w:hideMark/>
          </w:tcPr>
          <w:p w14:paraId="0DE8F8C2" w14:textId="77777777" w:rsidR="00C06078" w:rsidRPr="00264C55" w:rsidRDefault="00C06078" w:rsidP="00C84D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6.900 </w:t>
            </w:r>
          </w:p>
        </w:tc>
        <w:tc>
          <w:tcPr>
            <w:tcW w:w="1020" w:type="dxa"/>
            <w:tcBorders>
              <w:top w:val="nil"/>
              <w:left w:val="nil"/>
              <w:bottom w:val="nil"/>
              <w:right w:val="single" w:sz="8" w:space="0" w:color="auto"/>
            </w:tcBorders>
            <w:noWrap/>
            <w:vAlign w:val="center"/>
            <w:hideMark/>
          </w:tcPr>
          <w:p w14:paraId="3D9BF57B" w14:textId="77777777" w:rsidR="00C06078" w:rsidRPr="00264C55" w:rsidRDefault="00C06078" w:rsidP="00C84D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-1.200 </w:t>
            </w:r>
          </w:p>
        </w:tc>
      </w:tr>
      <w:tr w:rsidR="00C06078" w:rsidRPr="00264C55" w14:paraId="0B99A594" w14:textId="77777777" w:rsidTr="00C84D8F">
        <w:trPr>
          <w:trHeight w:val="170"/>
        </w:trPr>
        <w:tc>
          <w:tcPr>
            <w:tcW w:w="1300" w:type="dxa"/>
            <w:tcBorders>
              <w:top w:val="nil"/>
              <w:left w:val="single" w:sz="8" w:space="0" w:color="auto"/>
              <w:bottom w:val="nil"/>
              <w:right w:val="nil"/>
            </w:tcBorders>
            <w:noWrap/>
            <w:vAlign w:val="center"/>
            <w:hideMark/>
          </w:tcPr>
          <w:p w14:paraId="677CD71E" w14:textId="77777777" w:rsidR="00C06078" w:rsidRPr="00264C55" w:rsidRDefault="00C06078" w:rsidP="00C84D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35.000</w:t>
            </w:r>
          </w:p>
        </w:tc>
        <w:tc>
          <w:tcPr>
            <w:tcW w:w="1300" w:type="dxa"/>
            <w:tcBorders>
              <w:top w:val="nil"/>
              <w:left w:val="nil"/>
              <w:bottom w:val="nil"/>
              <w:right w:val="nil"/>
            </w:tcBorders>
            <w:noWrap/>
            <w:vAlign w:val="center"/>
            <w:hideMark/>
          </w:tcPr>
          <w:p w14:paraId="3B559109" w14:textId="77777777" w:rsidR="00C06078" w:rsidRPr="00264C55" w:rsidRDefault="00C06078" w:rsidP="00C84D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9.850 </w:t>
            </w:r>
          </w:p>
        </w:tc>
        <w:tc>
          <w:tcPr>
            <w:tcW w:w="1060" w:type="dxa"/>
            <w:tcBorders>
              <w:top w:val="nil"/>
              <w:left w:val="nil"/>
              <w:bottom w:val="nil"/>
              <w:right w:val="nil"/>
            </w:tcBorders>
            <w:noWrap/>
            <w:vAlign w:val="center"/>
            <w:hideMark/>
          </w:tcPr>
          <w:p w14:paraId="5CA9D8C4" w14:textId="77777777" w:rsidR="00C06078" w:rsidRPr="00264C55" w:rsidRDefault="00C06078" w:rsidP="00C84D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8.650 </w:t>
            </w:r>
          </w:p>
        </w:tc>
        <w:tc>
          <w:tcPr>
            <w:tcW w:w="1020" w:type="dxa"/>
            <w:tcBorders>
              <w:top w:val="nil"/>
              <w:left w:val="nil"/>
              <w:bottom w:val="nil"/>
              <w:right w:val="single" w:sz="8" w:space="0" w:color="auto"/>
            </w:tcBorders>
            <w:noWrap/>
            <w:vAlign w:val="center"/>
            <w:hideMark/>
          </w:tcPr>
          <w:p w14:paraId="7AEDB084" w14:textId="77777777" w:rsidR="00C06078" w:rsidRPr="00264C55" w:rsidRDefault="00C06078" w:rsidP="00C84D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-1.200 </w:t>
            </w:r>
          </w:p>
        </w:tc>
      </w:tr>
      <w:tr w:rsidR="00C06078" w:rsidRPr="00264C55" w14:paraId="34A8D89C" w14:textId="77777777" w:rsidTr="00C84D8F">
        <w:trPr>
          <w:trHeight w:val="170"/>
        </w:trPr>
        <w:tc>
          <w:tcPr>
            <w:tcW w:w="1300" w:type="dxa"/>
            <w:tcBorders>
              <w:top w:val="nil"/>
              <w:left w:val="single" w:sz="8" w:space="0" w:color="auto"/>
              <w:bottom w:val="single" w:sz="8" w:space="0" w:color="auto"/>
              <w:right w:val="nil"/>
            </w:tcBorders>
            <w:noWrap/>
            <w:vAlign w:val="center"/>
            <w:hideMark/>
          </w:tcPr>
          <w:p w14:paraId="2071C85A" w14:textId="77777777" w:rsidR="00C06078" w:rsidRPr="00264C55" w:rsidRDefault="00C06078" w:rsidP="00C84D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40.000</w:t>
            </w:r>
          </w:p>
        </w:tc>
        <w:tc>
          <w:tcPr>
            <w:tcW w:w="1300" w:type="dxa"/>
            <w:tcBorders>
              <w:top w:val="nil"/>
              <w:left w:val="nil"/>
              <w:bottom w:val="single" w:sz="8" w:space="0" w:color="auto"/>
              <w:right w:val="nil"/>
            </w:tcBorders>
            <w:noWrap/>
            <w:vAlign w:val="center"/>
            <w:hideMark/>
          </w:tcPr>
          <w:p w14:paraId="481FF744" w14:textId="77777777" w:rsidR="00C06078" w:rsidRPr="00264C55" w:rsidRDefault="00C06078" w:rsidP="00C84D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12.100 </w:t>
            </w:r>
          </w:p>
        </w:tc>
        <w:tc>
          <w:tcPr>
            <w:tcW w:w="1060" w:type="dxa"/>
            <w:tcBorders>
              <w:top w:val="nil"/>
              <w:left w:val="nil"/>
              <w:bottom w:val="single" w:sz="8" w:space="0" w:color="auto"/>
              <w:right w:val="nil"/>
            </w:tcBorders>
            <w:noWrap/>
            <w:vAlign w:val="center"/>
            <w:hideMark/>
          </w:tcPr>
          <w:p w14:paraId="0D5DCBFD" w14:textId="77777777" w:rsidR="00C06078" w:rsidRPr="00264C55" w:rsidRDefault="00C06078" w:rsidP="00C84D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10.800 </w:t>
            </w:r>
          </w:p>
        </w:tc>
        <w:tc>
          <w:tcPr>
            <w:tcW w:w="1020" w:type="dxa"/>
            <w:tcBorders>
              <w:top w:val="nil"/>
              <w:left w:val="nil"/>
              <w:bottom w:val="single" w:sz="8" w:space="0" w:color="auto"/>
              <w:right w:val="single" w:sz="8" w:space="0" w:color="auto"/>
            </w:tcBorders>
            <w:noWrap/>
            <w:vAlign w:val="center"/>
            <w:hideMark/>
          </w:tcPr>
          <w:p w14:paraId="62676C0B" w14:textId="77777777" w:rsidR="00C06078" w:rsidRPr="00264C55" w:rsidRDefault="00C06078" w:rsidP="00C84D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-1.300 </w:t>
            </w:r>
          </w:p>
        </w:tc>
      </w:tr>
    </w:tbl>
    <w:p w14:paraId="4C8AA0C1" w14:textId="77777777" w:rsidR="00C06078" w:rsidRPr="00264C55" w:rsidRDefault="00C06078" w:rsidP="00C06078">
      <w:pPr>
        <w:rPr>
          <w:sz w:val="32"/>
          <w:szCs w:val="32"/>
          <w:lang w:val="el-GR"/>
        </w:rPr>
      </w:pPr>
    </w:p>
    <w:p w14:paraId="7D45DBE9" w14:textId="77777777" w:rsidR="00C06078" w:rsidRPr="00264C55" w:rsidRDefault="00C06078" w:rsidP="00C06078">
      <w:pPr>
        <w:ind w:left="720"/>
        <w:rPr>
          <w:b/>
          <w:bCs/>
          <w:sz w:val="32"/>
          <w:szCs w:val="32"/>
          <w:lang w:val="el-GR"/>
        </w:rPr>
      </w:pPr>
    </w:p>
    <w:p w14:paraId="7C1264A4" w14:textId="77777777" w:rsidR="00C06078" w:rsidRPr="00264C55" w:rsidRDefault="00C06078" w:rsidP="00C06078">
      <w:pPr>
        <w:ind w:left="720"/>
        <w:rPr>
          <w:b/>
          <w:bCs/>
          <w:sz w:val="32"/>
          <w:szCs w:val="32"/>
          <w:lang w:val="el-GR"/>
        </w:rPr>
      </w:pPr>
    </w:p>
    <w:p w14:paraId="68ABD01A" w14:textId="77777777" w:rsidR="00C06078" w:rsidRPr="00264C55" w:rsidRDefault="00C06078" w:rsidP="00C06078">
      <w:pPr>
        <w:ind w:left="720"/>
        <w:rPr>
          <w:b/>
          <w:bCs/>
          <w:sz w:val="32"/>
          <w:szCs w:val="32"/>
          <w:lang w:val="el-GR"/>
        </w:rPr>
      </w:pPr>
    </w:p>
    <w:p w14:paraId="225B5E46" w14:textId="77777777" w:rsidR="00C06078" w:rsidRPr="00264C55" w:rsidRDefault="00C06078" w:rsidP="00C06078">
      <w:pPr>
        <w:ind w:left="720"/>
        <w:rPr>
          <w:b/>
          <w:bCs/>
          <w:sz w:val="32"/>
          <w:szCs w:val="32"/>
          <w:lang w:val="el-GR"/>
        </w:rPr>
      </w:pPr>
      <w:r w:rsidRPr="00264C55">
        <w:rPr>
          <w:b/>
          <w:bCs/>
          <w:sz w:val="32"/>
          <w:szCs w:val="32"/>
          <w:lang w:val="el-GR"/>
        </w:rPr>
        <w:t>Εισοδήματα και βεβαίωση φόρου από ακίνητα</w:t>
      </w:r>
    </w:p>
    <w:tbl>
      <w:tblPr>
        <w:tblW w:w="9425" w:type="dxa"/>
        <w:tblInd w:w="694" w:type="dxa"/>
        <w:tblLook w:val="04A0" w:firstRow="1" w:lastRow="0" w:firstColumn="1" w:lastColumn="0" w:noHBand="0" w:noVBand="1"/>
      </w:tblPr>
      <w:tblGrid>
        <w:gridCol w:w="1195"/>
        <w:gridCol w:w="1220"/>
        <w:gridCol w:w="1681"/>
        <w:gridCol w:w="1460"/>
        <w:gridCol w:w="1429"/>
        <w:gridCol w:w="1460"/>
        <w:gridCol w:w="1890"/>
        <w:gridCol w:w="1890"/>
      </w:tblGrid>
      <w:tr w:rsidR="00C06078" w:rsidRPr="00264C55" w14:paraId="7D0EAA17" w14:textId="77777777" w:rsidTr="00C84D8F">
        <w:trPr>
          <w:trHeight w:val="270"/>
        </w:trPr>
        <w:tc>
          <w:tcPr>
            <w:tcW w:w="2180" w:type="dxa"/>
            <w:gridSpan w:val="2"/>
            <w:tcBorders>
              <w:top w:val="single" w:sz="12" w:space="0" w:color="auto"/>
              <w:left w:val="single" w:sz="12" w:space="0" w:color="auto"/>
              <w:bottom w:val="single" w:sz="8" w:space="0" w:color="auto"/>
              <w:right w:val="single" w:sz="12" w:space="0" w:color="000000"/>
            </w:tcBorders>
            <w:shd w:val="clear" w:color="000000" w:fill="595959"/>
            <w:noWrap/>
            <w:vAlign w:val="center"/>
            <w:hideMark/>
          </w:tcPr>
          <w:p w14:paraId="263C5B54" w14:textId="77777777" w:rsidR="00C06078" w:rsidRPr="00264C55" w:rsidRDefault="00C06078" w:rsidP="00C84D8F">
            <w:pPr>
              <w:spacing w:after="0" w:line="240" w:lineRule="auto"/>
              <w:jc w:val="center"/>
              <w:rPr>
                <w:rFonts w:ascii="Century Schoolbook" w:eastAsia="Times New Roman" w:hAnsi="Century Schoolbook" w:cs="Arial"/>
                <w:b/>
                <w:bCs/>
                <w:color w:val="FFFFFF"/>
                <w:kern w:val="0"/>
                <w:sz w:val="32"/>
                <w:szCs w:val="32"/>
                <w14:ligatures w14:val="none"/>
              </w:rPr>
            </w:pPr>
            <w:r w:rsidRPr="00264C55">
              <w:rPr>
                <w:rFonts w:ascii="Century Schoolbook" w:eastAsia="Times New Roman" w:hAnsi="Century Schoolbook" w:cs="Arial"/>
                <w:b/>
                <w:bCs/>
                <w:color w:val="FFFFFF"/>
                <w:kern w:val="0"/>
                <w:sz w:val="32"/>
                <w:szCs w:val="32"/>
                <w14:ligatures w14:val="none"/>
              </w:rPr>
              <w:lastRenderedPageBreak/>
              <w:t>Εισόδημα</w:t>
            </w:r>
          </w:p>
        </w:tc>
        <w:tc>
          <w:tcPr>
            <w:tcW w:w="2420" w:type="dxa"/>
            <w:gridSpan w:val="2"/>
            <w:tcBorders>
              <w:top w:val="single" w:sz="12" w:space="0" w:color="auto"/>
              <w:left w:val="nil"/>
              <w:bottom w:val="single" w:sz="8" w:space="0" w:color="auto"/>
              <w:right w:val="single" w:sz="12" w:space="0" w:color="000000"/>
            </w:tcBorders>
            <w:shd w:val="clear" w:color="000000" w:fill="595959"/>
            <w:noWrap/>
            <w:vAlign w:val="center"/>
            <w:hideMark/>
          </w:tcPr>
          <w:p w14:paraId="74886C52" w14:textId="77777777" w:rsidR="00C06078" w:rsidRPr="00264C55" w:rsidRDefault="00C06078" w:rsidP="00C84D8F">
            <w:pPr>
              <w:spacing w:after="0" w:line="240" w:lineRule="auto"/>
              <w:jc w:val="center"/>
              <w:rPr>
                <w:rFonts w:ascii="Century Schoolbook" w:eastAsia="Times New Roman" w:hAnsi="Century Schoolbook" w:cs="Arial"/>
                <w:b/>
                <w:bCs/>
                <w:color w:val="FFFFFF"/>
                <w:kern w:val="0"/>
                <w:sz w:val="32"/>
                <w:szCs w:val="32"/>
                <w14:ligatures w14:val="none"/>
              </w:rPr>
            </w:pPr>
            <w:r w:rsidRPr="00264C55">
              <w:rPr>
                <w:rFonts w:ascii="Century Schoolbook" w:eastAsia="Times New Roman" w:hAnsi="Century Schoolbook" w:cs="Arial"/>
                <w:b/>
                <w:bCs/>
                <w:color w:val="FFFFFF"/>
                <w:kern w:val="0"/>
                <w:sz w:val="32"/>
                <w:szCs w:val="32"/>
                <w14:ligatures w14:val="none"/>
              </w:rPr>
              <w:t>Πλήθος</w:t>
            </w:r>
          </w:p>
        </w:tc>
        <w:tc>
          <w:tcPr>
            <w:tcW w:w="4825" w:type="dxa"/>
            <w:gridSpan w:val="4"/>
            <w:tcBorders>
              <w:top w:val="single" w:sz="12" w:space="0" w:color="auto"/>
              <w:left w:val="nil"/>
              <w:bottom w:val="single" w:sz="12" w:space="0" w:color="auto"/>
              <w:right w:val="single" w:sz="12" w:space="0" w:color="000000"/>
            </w:tcBorders>
            <w:shd w:val="clear" w:color="000000" w:fill="BFBFBF"/>
            <w:noWrap/>
            <w:vAlign w:val="center"/>
            <w:hideMark/>
          </w:tcPr>
          <w:p w14:paraId="30B07895" w14:textId="77777777" w:rsidR="00C06078" w:rsidRPr="00264C55" w:rsidRDefault="00C06078" w:rsidP="00C84D8F">
            <w:pPr>
              <w:spacing w:after="0" w:line="240" w:lineRule="auto"/>
              <w:jc w:val="center"/>
              <w:rPr>
                <w:rFonts w:ascii="Century Schoolbook" w:eastAsia="Times New Roman" w:hAnsi="Century Schoolbook" w:cs="Arial"/>
                <w:b/>
                <w:bCs/>
                <w:color w:val="000000"/>
                <w:kern w:val="0"/>
                <w:sz w:val="32"/>
                <w:szCs w:val="32"/>
                <w14:ligatures w14:val="none"/>
              </w:rPr>
            </w:pPr>
            <w:r w:rsidRPr="00264C55">
              <w:rPr>
                <w:rFonts w:ascii="Century Schoolbook" w:eastAsia="Times New Roman" w:hAnsi="Century Schoolbook" w:cs="Arial"/>
                <w:b/>
                <w:bCs/>
                <w:color w:val="000000"/>
                <w:kern w:val="0"/>
                <w:sz w:val="32"/>
                <w:szCs w:val="32"/>
                <w14:ligatures w14:val="none"/>
              </w:rPr>
              <w:t>Φόρος (εκ. €)</w:t>
            </w:r>
          </w:p>
        </w:tc>
      </w:tr>
      <w:tr w:rsidR="00C06078" w:rsidRPr="00264C55" w14:paraId="324277C4" w14:textId="77777777" w:rsidTr="00C84D8F">
        <w:trPr>
          <w:trHeight w:val="270"/>
        </w:trPr>
        <w:tc>
          <w:tcPr>
            <w:tcW w:w="960" w:type="dxa"/>
            <w:tcBorders>
              <w:top w:val="nil"/>
              <w:left w:val="single" w:sz="12" w:space="0" w:color="auto"/>
              <w:bottom w:val="single" w:sz="12" w:space="0" w:color="auto"/>
              <w:right w:val="single" w:sz="4" w:space="0" w:color="auto"/>
            </w:tcBorders>
            <w:shd w:val="clear" w:color="000000" w:fill="F2F2F2"/>
            <w:vAlign w:val="center"/>
            <w:hideMark/>
          </w:tcPr>
          <w:p w14:paraId="36A03CE0" w14:textId="77777777" w:rsidR="00C06078" w:rsidRPr="00264C55" w:rsidRDefault="00C06078" w:rsidP="00C84D8F">
            <w:pPr>
              <w:spacing w:after="0" w:line="240" w:lineRule="auto"/>
              <w:jc w:val="center"/>
              <w:rPr>
                <w:rFonts w:ascii="Century Schoolbook" w:eastAsia="Times New Roman" w:hAnsi="Century Schoolbook" w:cs="Arial"/>
                <w:b/>
                <w:bCs/>
                <w:color w:val="000000"/>
                <w:kern w:val="0"/>
                <w:sz w:val="32"/>
                <w:szCs w:val="32"/>
                <w14:ligatures w14:val="none"/>
              </w:rPr>
            </w:pPr>
            <w:r w:rsidRPr="00264C55">
              <w:rPr>
                <w:rFonts w:ascii="Century Schoolbook" w:eastAsia="Times New Roman" w:hAnsi="Century Schoolbook" w:cs="Arial"/>
                <w:b/>
                <w:bCs/>
                <w:color w:val="000000"/>
                <w:kern w:val="0"/>
                <w:sz w:val="32"/>
                <w:szCs w:val="32"/>
                <w14:ligatures w14:val="none"/>
              </w:rPr>
              <w:t>Από</w:t>
            </w:r>
          </w:p>
        </w:tc>
        <w:tc>
          <w:tcPr>
            <w:tcW w:w="1220" w:type="dxa"/>
            <w:tcBorders>
              <w:top w:val="nil"/>
              <w:left w:val="nil"/>
              <w:bottom w:val="single" w:sz="12" w:space="0" w:color="auto"/>
              <w:right w:val="single" w:sz="12" w:space="0" w:color="auto"/>
            </w:tcBorders>
            <w:shd w:val="clear" w:color="000000" w:fill="F2F2F2"/>
            <w:vAlign w:val="center"/>
            <w:hideMark/>
          </w:tcPr>
          <w:p w14:paraId="3C4C356B" w14:textId="77777777" w:rsidR="00C06078" w:rsidRPr="00264C55" w:rsidRDefault="00C06078" w:rsidP="00C84D8F">
            <w:pPr>
              <w:spacing w:after="0" w:line="240" w:lineRule="auto"/>
              <w:jc w:val="center"/>
              <w:rPr>
                <w:rFonts w:ascii="Century Schoolbook" w:eastAsia="Times New Roman" w:hAnsi="Century Schoolbook" w:cs="Arial"/>
                <w:b/>
                <w:bCs/>
                <w:color w:val="000000"/>
                <w:kern w:val="0"/>
                <w:sz w:val="32"/>
                <w:szCs w:val="32"/>
                <w14:ligatures w14:val="none"/>
              </w:rPr>
            </w:pPr>
            <w:r w:rsidRPr="00264C55">
              <w:rPr>
                <w:rFonts w:ascii="Century Schoolbook" w:eastAsia="Times New Roman" w:hAnsi="Century Schoolbook" w:cs="Arial"/>
                <w:b/>
                <w:bCs/>
                <w:color w:val="000000"/>
                <w:kern w:val="0"/>
                <w:sz w:val="32"/>
                <w:szCs w:val="32"/>
                <w14:ligatures w14:val="none"/>
              </w:rPr>
              <w:t>Έως</w:t>
            </w:r>
          </w:p>
        </w:tc>
        <w:tc>
          <w:tcPr>
            <w:tcW w:w="1083" w:type="dxa"/>
            <w:tcBorders>
              <w:top w:val="single" w:sz="12" w:space="0" w:color="auto"/>
              <w:left w:val="nil"/>
              <w:bottom w:val="single" w:sz="12" w:space="0" w:color="auto"/>
              <w:right w:val="single" w:sz="4" w:space="0" w:color="auto"/>
            </w:tcBorders>
            <w:shd w:val="clear" w:color="000000" w:fill="F2F2F2"/>
            <w:noWrap/>
            <w:vAlign w:val="center"/>
            <w:hideMark/>
          </w:tcPr>
          <w:p w14:paraId="52AA0DC1" w14:textId="77777777" w:rsidR="00C06078" w:rsidRPr="00264C55" w:rsidRDefault="00C06078" w:rsidP="00C84D8F">
            <w:pPr>
              <w:spacing w:after="0" w:line="240" w:lineRule="auto"/>
              <w:jc w:val="center"/>
              <w:rPr>
                <w:rFonts w:ascii="Century Schoolbook" w:eastAsia="Times New Roman" w:hAnsi="Century Schoolbook" w:cs="Arial"/>
                <w:b/>
                <w:bCs/>
                <w:color w:val="000000"/>
                <w:kern w:val="0"/>
                <w:sz w:val="32"/>
                <w:szCs w:val="32"/>
                <w14:ligatures w14:val="none"/>
              </w:rPr>
            </w:pPr>
            <w:r w:rsidRPr="00264C55">
              <w:rPr>
                <w:rFonts w:ascii="Century Schoolbook" w:eastAsia="Times New Roman" w:hAnsi="Century Schoolbook" w:cs="Arial"/>
                <w:b/>
                <w:bCs/>
                <w:color w:val="000000"/>
                <w:kern w:val="0"/>
                <w:sz w:val="32"/>
                <w:szCs w:val="32"/>
                <w14:ligatures w14:val="none"/>
              </w:rPr>
              <w:t>Σύνολο</w:t>
            </w:r>
          </w:p>
        </w:tc>
        <w:tc>
          <w:tcPr>
            <w:tcW w:w="1337" w:type="dxa"/>
            <w:tcBorders>
              <w:top w:val="single" w:sz="12" w:space="0" w:color="auto"/>
              <w:left w:val="nil"/>
              <w:bottom w:val="single" w:sz="12" w:space="0" w:color="auto"/>
              <w:right w:val="single" w:sz="4" w:space="0" w:color="auto"/>
            </w:tcBorders>
            <w:shd w:val="clear" w:color="000000" w:fill="F2F2F2"/>
            <w:noWrap/>
            <w:vAlign w:val="center"/>
            <w:hideMark/>
          </w:tcPr>
          <w:p w14:paraId="60DE94AE" w14:textId="77777777" w:rsidR="00C06078" w:rsidRPr="00264C55" w:rsidRDefault="00C06078" w:rsidP="00C84D8F">
            <w:pPr>
              <w:spacing w:after="0" w:line="240" w:lineRule="auto"/>
              <w:jc w:val="center"/>
              <w:rPr>
                <w:rFonts w:ascii="Century Schoolbook" w:eastAsia="Times New Roman" w:hAnsi="Century Schoolbook" w:cs="Arial"/>
                <w:b/>
                <w:bCs/>
                <w:color w:val="000000"/>
                <w:kern w:val="0"/>
                <w:sz w:val="32"/>
                <w:szCs w:val="32"/>
                <w14:ligatures w14:val="none"/>
              </w:rPr>
            </w:pPr>
            <w:r w:rsidRPr="00264C55">
              <w:rPr>
                <w:rFonts w:ascii="Century Schoolbook" w:eastAsia="Times New Roman" w:hAnsi="Century Schoolbook" w:cs="Arial"/>
                <w:b/>
                <w:bCs/>
                <w:color w:val="000000"/>
                <w:kern w:val="0"/>
                <w:sz w:val="32"/>
                <w:szCs w:val="32"/>
                <w14:ligatures w14:val="none"/>
              </w:rPr>
              <w:t>Με Όφελος</w:t>
            </w:r>
          </w:p>
        </w:tc>
        <w:tc>
          <w:tcPr>
            <w:tcW w:w="898" w:type="dxa"/>
            <w:tcBorders>
              <w:top w:val="nil"/>
              <w:left w:val="single" w:sz="12" w:space="0" w:color="auto"/>
              <w:bottom w:val="single" w:sz="12" w:space="0" w:color="auto"/>
              <w:right w:val="single" w:sz="4" w:space="0" w:color="auto"/>
            </w:tcBorders>
            <w:shd w:val="clear" w:color="000000" w:fill="F2F2F2"/>
            <w:noWrap/>
            <w:vAlign w:val="center"/>
            <w:hideMark/>
          </w:tcPr>
          <w:p w14:paraId="55FAC2CF" w14:textId="77777777" w:rsidR="00C06078" w:rsidRPr="00264C55" w:rsidRDefault="00C06078" w:rsidP="00C84D8F">
            <w:pPr>
              <w:spacing w:after="0" w:line="240" w:lineRule="auto"/>
              <w:jc w:val="center"/>
              <w:rPr>
                <w:rFonts w:ascii="Century Schoolbook" w:eastAsia="Times New Roman" w:hAnsi="Century Schoolbook" w:cs="Arial"/>
                <w:b/>
                <w:bCs/>
                <w:color w:val="000000"/>
                <w:kern w:val="0"/>
                <w:sz w:val="32"/>
                <w:szCs w:val="32"/>
                <w14:ligatures w14:val="none"/>
              </w:rPr>
            </w:pPr>
            <w:r w:rsidRPr="00264C55">
              <w:rPr>
                <w:rFonts w:ascii="Century Schoolbook" w:eastAsia="Times New Roman" w:hAnsi="Century Schoolbook" w:cs="Arial"/>
                <w:b/>
                <w:bCs/>
                <w:color w:val="000000"/>
                <w:kern w:val="0"/>
                <w:sz w:val="32"/>
                <w:szCs w:val="32"/>
                <w14:ligatures w14:val="none"/>
              </w:rPr>
              <w:t>Σύνολο</w:t>
            </w:r>
          </w:p>
        </w:tc>
        <w:tc>
          <w:tcPr>
            <w:tcW w:w="1294" w:type="dxa"/>
            <w:tcBorders>
              <w:top w:val="nil"/>
              <w:left w:val="nil"/>
              <w:bottom w:val="single" w:sz="12" w:space="0" w:color="auto"/>
              <w:right w:val="single" w:sz="4" w:space="0" w:color="auto"/>
            </w:tcBorders>
            <w:shd w:val="clear" w:color="000000" w:fill="F2F2F2"/>
            <w:noWrap/>
            <w:vAlign w:val="center"/>
            <w:hideMark/>
          </w:tcPr>
          <w:p w14:paraId="101052BF" w14:textId="77777777" w:rsidR="00C06078" w:rsidRPr="00264C55" w:rsidRDefault="00C06078" w:rsidP="00C84D8F">
            <w:pPr>
              <w:spacing w:after="0" w:line="240" w:lineRule="auto"/>
              <w:jc w:val="center"/>
              <w:rPr>
                <w:rFonts w:ascii="Century Schoolbook" w:eastAsia="Times New Roman" w:hAnsi="Century Schoolbook" w:cs="Arial"/>
                <w:b/>
                <w:bCs/>
                <w:color w:val="000000"/>
                <w:kern w:val="0"/>
                <w:sz w:val="32"/>
                <w:szCs w:val="32"/>
                <w14:ligatures w14:val="none"/>
              </w:rPr>
            </w:pPr>
            <w:r w:rsidRPr="00264C55">
              <w:rPr>
                <w:rFonts w:ascii="Century Schoolbook" w:eastAsia="Times New Roman" w:hAnsi="Century Schoolbook" w:cs="Arial"/>
                <w:b/>
                <w:bCs/>
                <w:color w:val="000000"/>
                <w:kern w:val="0"/>
                <w:sz w:val="32"/>
                <w:szCs w:val="32"/>
                <w14:ligatures w14:val="none"/>
              </w:rPr>
              <w:t>Με Όφελος</w:t>
            </w:r>
          </w:p>
        </w:tc>
        <w:tc>
          <w:tcPr>
            <w:tcW w:w="1193" w:type="dxa"/>
            <w:tcBorders>
              <w:top w:val="nil"/>
              <w:left w:val="nil"/>
              <w:bottom w:val="single" w:sz="12" w:space="0" w:color="auto"/>
              <w:right w:val="single" w:sz="4" w:space="0" w:color="auto"/>
            </w:tcBorders>
            <w:shd w:val="clear" w:color="000000" w:fill="C00000"/>
            <w:noWrap/>
            <w:vAlign w:val="center"/>
            <w:hideMark/>
          </w:tcPr>
          <w:p w14:paraId="5D43312B" w14:textId="77777777" w:rsidR="00C06078" w:rsidRPr="00264C55" w:rsidRDefault="00C06078" w:rsidP="00C84D8F">
            <w:pPr>
              <w:spacing w:after="0" w:line="240" w:lineRule="auto"/>
              <w:jc w:val="center"/>
              <w:rPr>
                <w:rFonts w:ascii="Century Schoolbook" w:eastAsia="Times New Roman" w:hAnsi="Century Schoolbook" w:cs="Arial"/>
                <w:b/>
                <w:bCs/>
                <w:color w:val="FFFFFF"/>
                <w:kern w:val="0"/>
                <w:sz w:val="32"/>
                <w:szCs w:val="32"/>
                <w14:ligatures w14:val="none"/>
              </w:rPr>
            </w:pPr>
            <w:r w:rsidRPr="00264C55">
              <w:rPr>
                <w:rFonts w:ascii="Century Schoolbook" w:eastAsia="Times New Roman" w:hAnsi="Century Schoolbook" w:cs="Arial"/>
                <w:b/>
                <w:bCs/>
                <w:color w:val="FFFFFF"/>
                <w:kern w:val="0"/>
                <w:sz w:val="32"/>
                <w:szCs w:val="32"/>
                <w14:ligatures w14:val="none"/>
              </w:rPr>
              <w:t>Μεταβολή</w:t>
            </w:r>
          </w:p>
        </w:tc>
        <w:tc>
          <w:tcPr>
            <w:tcW w:w="1440" w:type="dxa"/>
            <w:tcBorders>
              <w:top w:val="nil"/>
              <w:left w:val="nil"/>
              <w:bottom w:val="nil"/>
              <w:right w:val="single" w:sz="12" w:space="0" w:color="auto"/>
            </w:tcBorders>
            <w:shd w:val="clear" w:color="000000" w:fill="C00000"/>
            <w:noWrap/>
            <w:vAlign w:val="center"/>
            <w:hideMark/>
          </w:tcPr>
          <w:p w14:paraId="75C218E8" w14:textId="77777777" w:rsidR="00C06078" w:rsidRPr="00264C55" w:rsidRDefault="00C06078" w:rsidP="00C84D8F">
            <w:pPr>
              <w:spacing w:after="0" w:line="240" w:lineRule="auto"/>
              <w:rPr>
                <w:rFonts w:ascii="Century Schoolbook" w:eastAsia="Times New Roman" w:hAnsi="Century Schoolbook" w:cs="Arial"/>
                <w:b/>
                <w:bCs/>
                <w:color w:val="FFFFFF"/>
                <w:kern w:val="0"/>
                <w:sz w:val="32"/>
                <w:szCs w:val="32"/>
                <w14:ligatures w14:val="none"/>
              </w:rPr>
            </w:pPr>
            <w:r w:rsidRPr="00264C55">
              <w:rPr>
                <w:rFonts w:ascii="Century Schoolbook" w:eastAsia="Times New Roman" w:hAnsi="Century Schoolbook" w:cs="Arial"/>
                <w:b/>
                <w:bCs/>
                <w:color w:val="FFFFFF"/>
                <w:kern w:val="0"/>
                <w:sz w:val="32"/>
                <w:szCs w:val="32"/>
                <w14:ligatures w14:val="none"/>
              </w:rPr>
              <w:t>% Μεταβολή</w:t>
            </w:r>
          </w:p>
        </w:tc>
      </w:tr>
      <w:tr w:rsidR="00C06078" w:rsidRPr="00264C55" w14:paraId="0E483F0E" w14:textId="77777777" w:rsidTr="00C84D8F">
        <w:trPr>
          <w:trHeight w:val="270"/>
        </w:trPr>
        <w:tc>
          <w:tcPr>
            <w:tcW w:w="960" w:type="dxa"/>
            <w:tcBorders>
              <w:top w:val="nil"/>
              <w:left w:val="single" w:sz="12" w:space="0" w:color="auto"/>
              <w:bottom w:val="dotted" w:sz="4" w:space="0" w:color="auto"/>
              <w:right w:val="single" w:sz="4" w:space="0" w:color="auto"/>
            </w:tcBorders>
            <w:noWrap/>
            <w:vAlign w:val="center"/>
            <w:hideMark/>
          </w:tcPr>
          <w:p w14:paraId="3AF95ADE"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0</w:t>
            </w:r>
          </w:p>
        </w:tc>
        <w:tc>
          <w:tcPr>
            <w:tcW w:w="1220" w:type="dxa"/>
            <w:tcBorders>
              <w:top w:val="nil"/>
              <w:left w:val="nil"/>
              <w:bottom w:val="dotted" w:sz="4" w:space="0" w:color="auto"/>
              <w:right w:val="single" w:sz="12" w:space="0" w:color="auto"/>
            </w:tcBorders>
            <w:noWrap/>
            <w:vAlign w:val="center"/>
            <w:hideMark/>
          </w:tcPr>
          <w:p w14:paraId="0B1FC720"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5.000</w:t>
            </w:r>
          </w:p>
        </w:tc>
        <w:tc>
          <w:tcPr>
            <w:tcW w:w="1083" w:type="dxa"/>
            <w:tcBorders>
              <w:top w:val="nil"/>
              <w:left w:val="single" w:sz="12" w:space="0" w:color="595959"/>
              <w:bottom w:val="dotted" w:sz="4" w:space="0" w:color="595959"/>
              <w:right w:val="single" w:sz="4" w:space="0" w:color="auto"/>
            </w:tcBorders>
            <w:noWrap/>
            <w:vAlign w:val="center"/>
            <w:hideMark/>
          </w:tcPr>
          <w:p w14:paraId="5D26CD3F"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1.500.345 </w:t>
            </w:r>
          </w:p>
        </w:tc>
        <w:tc>
          <w:tcPr>
            <w:tcW w:w="1337" w:type="dxa"/>
            <w:tcBorders>
              <w:top w:val="nil"/>
              <w:left w:val="nil"/>
              <w:bottom w:val="dotted" w:sz="4" w:space="0" w:color="595959"/>
              <w:right w:val="single" w:sz="12" w:space="0" w:color="595959"/>
            </w:tcBorders>
            <w:noWrap/>
            <w:vAlign w:val="center"/>
            <w:hideMark/>
          </w:tcPr>
          <w:p w14:paraId="349CD3B0"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0 </w:t>
            </w:r>
          </w:p>
        </w:tc>
        <w:tc>
          <w:tcPr>
            <w:tcW w:w="898" w:type="dxa"/>
            <w:tcBorders>
              <w:top w:val="nil"/>
              <w:left w:val="single" w:sz="12" w:space="0" w:color="auto"/>
              <w:bottom w:val="dotted" w:sz="4" w:space="0" w:color="auto"/>
              <w:right w:val="single" w:sz="4" w:space="0" w:color="auto"/>
            </w:tcBorders>
            <w:noWrap/>
            <w:vAlign w:val="center"/>
            <w:hideMark/>
          </w:tcPr>
          <w:p w14:paraId="7F71CCB1"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359</w:t>
            </w:r>
          </w:p>
        </w:tc>
        <w:tc>
          <w:tcPr>
            <w:tcW w:w="1294" w:type="dxa"/>
            <w:tcBorders>
              <w:top w:val="nil"/>
              <w:left w:val="nil"/>
              <w:bottom w:val="dotted" w:sz="4" w:space="0" w:color="auto"/>
              <w:right w:val="single" w:sz="4" w:space="0" w:color="auto"/>
            </w:tcBorders>
            <w:noWrap/>
            <w:vAlign w:val="center"/>
            <w:hideMark/>
          </w:tcPr>
          <w:p w14:paraId="4BC6A6A0"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359</w:t>
            </w:r>
          </w:p>
        </w:tc>
        <w:tc>
          <w:tcPr>
            <w:tcW w:w="1193" w:type="dxa"/>
            <w:tcBorders>
              <w:top w:val="nil"/>
              <w:left w:val="nil"/>
              <w:bottom w:val="dotted" w:sz="4" w:space="0" w:color="auto"/>
              <w:right w:val="single" w:sz="4" w:space="0" w:color="auto"/>
            </w:tcBorders>
            <w:noWrap/>
            <w:vAlign w:val="center"/>
            <w:hideMark/>
          </w:tcPr>
          <w:p w14:paraId="1EF31993"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0</w:t>
            </w:r>
          </w:p>
        </w:tc>
        <w:tc>
          <w:tcPr>
            <w:tcW w:w="1440" w:type="dxa"/>
            <w:tcBorders>
              <w:top w:val="single" w:sz="12" w:space="0" w:color="auto"/>
              <w:left w:val="nil"/>
              <w:bottom w:val="dotted" w:sz="4" w:space="0" w:color="auto"/>
              <w:right w:val="single" w:sz="12" w:space="0" w:color="auto"/>
            </w:tcBorders>
            <w:noWrap/>
            <w:vAlign w:val="center"/>
            <w:hideMark/>
          </w:tcPr>
          <w:p w14:paraId="6F28E0E2"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0,00%</w:t>
            </w:r>
          </w:p>
        </w:tc>
      </w:tr>
      <w:tr w:rsidR="00C06078" w:rsidRPr="00264C55" w14:paraId="512FF350" w14:textId="77777777" w:rsidTr="00C84D8F">
        <w:trPr>
          <w:trHeight w:val="260"/>
        </w:trPr>
        <w:tc>
          <w:tcPr>
            <w:tcW w:w="960" w:type="dxa"/>
            <w:tcBorders>
              <w:top w:val="nil"/>
              <w:left w:val="single" w:sz="12" w:space="0" w:color="auto"/>
              <w:bottom w:val="dotted" w:sz="4" w:space="0" w:color="auto"/>
              <w:right w:val="single" w:sz="4" w:space="0" w:color="auto"/>
            </w:tcBorders>
            <w:noWrap/>
            <w:vAlign w:val="center"/>
            <w:hideMark/>
          </w:tcPr>
          <w:p w14:paraId="04A7C6CB"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5.000</w:t>
            </w:r>
          </w:p>
        </w:tc>
        <w:tc>
          <w:tcPr>
            <w:tcW w:w="1220" w:type="dxa"/>
            <w:tcBorders>
              <w:top w:val="nil"/>
              <w:left w:val="nil"/>
              <w:bottom w:val="dotted" w:sz="4" w:space="0" w:color="auto"/>
              <w:right w:val="single" w:sz="12" w:space="0" w:color="auto"/>
            </w:tcBorders>
            <w:noWrap/>
            <w:vAlign w:val="center"/>
            <w:hideMark/>
          </w:tcPr>
          <w:p w14:paraId="338210E5"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12.000</w:t>
            </w:r>
          </w:p>
        </w:tc>
        <w:tc>
          <w:tcPr>
            <w:tcW w:w="1083" w:type="dxa"/>
            <w:tcBorders>
              <w:top w:val="nil"/>
              <w:left w:val="single" w:sz="12" w:space="0" w:color="595959"/>
              <w:bottom w:val="dotted" w:sz="4" w:space="0" w:color="595959"/>
              <w:right w:val="single" w:sz="4" w:space="0" w:color="auto"/>
            </w:tcBorders>
            <w:noWrap/>
            <w:vAlign w:val="center"/>
            <w:hideMark/>
          </w:tcPr>
          <w:p w14:paraId="1FCEEF0B"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396.573 </w:t>
            </w:r>
          </w:p>
        </w:tc>
        <w:tc>
          <w:tcPr>
            <w:tcW w:w="1337" w:type="dxa"/>
            <w:tcBorders>
              <w:top w:val="nil"/>
              <w:left w:val="nil"/>
              <w:bottom w:val="dotted" w:sz="4" w:space="0" w:color="595959"/>
              <w:right w:val="single" w:sz="12" w:space="0" w:color="595959"/>
            </w:tcBorders>
            <w:noWrap/>
            <w:vAlign w:val="center"/>
            <w:hideMark/>
          </w:tcPr>
          <w:p w14:paraId="60B54845"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0 </w:t>
            </w:r>
          </w:p>
        </w:tc>
        <w:tc>
          <w:tcPr>
            <w:tcW w:w="898" w:type="dxa"/>
            <w:tcBorders>
              <w:top w:val="nil"/>
              <w:left w:val="single" w:sz="12" w:space="0" w:color="auto"/>
              <w:bottom w:val="dotted" w:sz="4" w:space="0" w:color="auto"/>
              <w:right w:val="single" w:sz="4" w:space="0" w:color="auto"/>
            </w:tcBorders>
            <w:noWrap/>
            <w:vAlign w:val="center"/>
            <w:hideMark/>
          </w:tcPr>
          <w:p w14:paraId="25A25FA7"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457</w:t>
            </w:r>
          </w:p>
        </w:tc>
        <w:tc>
          <w:tcPr>
            <w:tcW w:w="1294" w:type="dxa"/>
            <w:tcBorders>
              <w:top w:val="nil"/>
              <w:left w:val="single" w:sz="4" w:space="0" w:color="auto"/>
              <w:bottom w:val="dotted" w:sz="4" w:space="0" w:color="auto"/>
              <w:right w:val="single" w:sz="4" w:space="0" w:color="auto"/>
            </w:tcBorders>
            <w:noWrap/>
            <w:vAlign w:val="center"/>
            <w:hideMark/>
          </w:tcPr>
          <w:p w14:paraId="613C4250"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457</w:t>
            </w:r>
          </w:p>
        </w:tc>
        <w:tc>
          <w:tcPr>
            <w:tcW w:w="1193" w:type="dxa"/>
            <w:tcBorders>
              <w:top w:val="nil"/>
              <w:left w:val="nil"/>
              <w:bottom w:val="dotted" w:sz="4" w:space="0" w:color="auto"/>
              <w:right w:val="single" w:sz="4" w:space="0" w:color="auto"/>
            </w:tcBorders>
            <w:noWrap/>
            <w:vAlign w:val="center"/>
            <w:hideMark/>
          </w:tcPr>
          <w:p w14:paraId="5FC8DD30"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0</w:t>
            </w:r>
          </w:p>
        </w:tc>
        <w:tc>
          <w:tcPr>
            <w:tcW w:w="1440" w:type="dxa"/>
            <w:tcBorders>
              <w:top w:val="nil"/>
              <w:left w:val="single" w:sz="4" w:space="0" w:color="auto"/>
              <w:bottom w:val="dotted" w:sz="4" w:space="0" w:color="auto"/>
              <w:right w:val="single" w:sz="12" w:space="0" w:color="auto"/>
            </w:tcBorders>
            <w:noWrap/>
            <w:vAlign w:val="center"/>
            <w:hideMark/>
          </w:tcPr>
          <w:p w14:paraId="37DA6A62"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0,00%</w:t>
            </w:r>
          </w:p>
        </w:tc>
      </w:tr>
      <w:tr w:rsidR="00C06078" w:rsidRPr="00264C55" w14:paraId="7A82D1C4" w14:textId="77777777" w:rsidTr="00C84D8F">
        <w:trPr>
          <w:trHeight w:val="250"/>
        </w:trPr>
        <w:tc>
          <w:tcPr>
            <w:tcW w:w="960" w:type="dxa"/>
            <w:tcBorders>
              <w:top w:val="nil"/>
              <w:left w:val="single" w:sz="12" w:space="0" w:color="auto"/>
              <w:bottom w:val="dotted" w:sz="4" w:space="0" w:color="auto"/>
              <w:right w:val="single" w:sz="4" w:space="0" w:color="auto"/>
            </w:tcBorders>
            <w:noWrap/>
            <w:vAlign w:val="center"/>
            <w:hideMark/>
          </w:tcPr>
          <w:p w14:paraId="3796295E"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12.000</w:t>
            </w:r>
          </w:p>
        </w:tc>
        <w:tc>
          <w:tcPr>
            <w:tcW w:w="1220" w:type="dxa"/>
            <w:tcBorders>
              <w:top w:val="nil"/>
              <w:left w:val="nil"/>
              <w:bottom w:val="dotted" w:sz="4" w:space="0" w:color="auto"/>
              <w:right w:val="single" w:sz="12" w:space="0" w:color="auto"/>
            </w:tcBorders>
            <w:noWrap/>
            <w:vAlign w:val="center"/>
            <w:hideMark/>
          </w:tcPr>
          <w:p w14:paraId="16BDC4CE"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15.000</w:t>
            </w:r>
          </w:p>
        </w:tc>
        <w:tc>
          <w:tcPr>
            <w:tcW w:w="1083" w:type="dxa"/>
            <w:tcBorders>
              <w:top w:val="nil"/>
              <w:left w:val="single" w:sz="12" w:space="0" w:color="595959"/>
              <w:bottom w:val="dotted" w:sz="4" w:space="0" w:color="595959"/>
              <w:right w:val="single" w:sz="4" w:space="0" w:color="auto"/>
            </w:tcBorders>
            <w:noWrap/>
            <w:vAlign w:val="center"/>
            <w:hideMark/>
          </w:tcPr>
          <w:p w14:paraId="0933DB85"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56.205 </w:t>
            </w:r>
          </w:p>
        </w:tc>
        <w:tc>
          <w:tcPr>
            <w:tcW w:w="1337" w:type="dxa"/>
            <w:tcBorders>
              <w:top w:val="nil"/>
              <w:left w:val="nil"/>
              <w:bottom w:val="dotted" w:sz="4" w:space="0" w:color="595959"/>
              <w:right w:val="single" w:sz="12" w:space="0" w:color="595959"/>
            </w:tcBorders>
            <w:noWrap/>
            <w:vAlign w:val="center"/>
            <w:hideMark/>
          </w:tcPr>
          <w:p w14:paraId="25793823"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56.205 </w:t>
            </w:r>
          </w:p>
        </w:tc>
        <w:tc>
          <w:tcPr>
            <w:tcW w:w="898" w:type="dxa"/>
            <w:tcBorders>
              <w:top w:val="nil"/>
              <w:left w:val="single" w:sz="12" w:space="0" w:color="auto"/>
              <w:bottom w:val="dotted" w:sz="4" w:space="0" w:color="auto"/>
              <w:right w:val="single" w:sz="4" w:space="0" w:color="auto"/>
            </w:tcBorders>
            <w:noWrap/>
            <w:vAlign w:val="center"/>
            <w:hideMark/>
          </w:tcPr>
          <w:p w14:paraId="366B60BF"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128</w:t>
            </w:r>
          </w:p>
        </w:tc>
        <w:tc>
          <w:tcPr>
            <w:tcW w:w="1294" w:type="dxa"/>
            <w:tcBorders>
              <w:top w:val="nil"/>
              <w:left w:val="single" w:sz="4" w:space="0" w:color="auto"/>
              <w:bottom w:val="dotted" w:sz="4" w:space="0" w:color="auto"/>
              <w:right w:val="single" w:sz="4" w:space="0" w:color="auto"/>
            </w:tcBorders>
            <w:noWrap/>
            <w:vAlign w:val="center"/>
            <w:hideMark/>
          </w:tcPr>
          <w:p w14:paraId="506B448B"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120</w:t>
            </w:r>
          </w:p>
        </w:tc>
        <w:tc>
          <w:tcPr>
            <w:tcW w:w="1193" w:type="dxa"/>
            <w:tcBorders>
              <w:top w:val="nil"/>
              <w:left w:val="nil"/>
              <w:bottom w:val="dotted" w:sz="4" w:space="0" w:color="auto"/>
              <w:right w:val="single" w:sz="4" w:space="0" w:color="auto"/>
            </w:tcBorders>
            <w:noWrap/>
            <w:vAlign w:val="center"/>
            <w:hideMark/>
          </w:tcPr>
          <w:p w14:paraId="3E317B70"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-8</w:t>
            </w:r>
          </w:p>
        </w:tc>
        <w:tc>
          <w:tcPr>
            <w:tcW w:w="1440" w:type="dxa"/>
            <w:tcBorders>
              <w:top w:val="nil"/>
              <w:left w:val="single" w:sz="4" w:space="0" w:color="auto"/>
              <w:bottom w:val="dotted" w:sz="4" w:space="0" w:color="auto"/>
              <w:right w:val="single" w:sz="12" w:space="0" w:color="auto"/>
            </w:tcBorders>
            <w:noWrap/>
            <w:vAlign w:val="center"/>
            <w:hideMark/>
          </w:tcPr>
          <w:p w14:paraId="0B594398"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-6,02%</w:t>
            </w:r>
          </w:p>
        </w:tc>
      </w:tr>
      <w:tr w:rsidR="00C06078" w:rsidRPr="00264C55" w14:paraId="1CF70836" w14:textId="77777777" w:rsidTr="00C84D8F">
        <w:trPr>
          <w:trHeight w:val="250"/>
        </w:trPr>
        <w:tc>
          <w:tcPr>
            <w:tcW w:w="960" w:type="dxa"/>
            <w:tcBorders>
              <w:top w:val="nil"/>
              <w:left w:val="single" w:sz="12" w:space="0" w:color="auto"/>
              <w:bottom w:val="dotted" w:sz="4" w:space="0" w:color="auto"/>
              <w:right w:val="single" w:sz="4" w:space="0" w:color="auto"/>
            </w:tcBorders>
            <w:noWrap/>
            <w:vAlign w:val="center"/>
            <w:hideMark/>
          </w:tcPr>
          <w:p w14:paraId="07B64B36"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15.000</w:t>
            </w:r>
          </w:p>
        </w:tc>
        <w:tc>
          <w:tcPr>
            <w:tcW w:w="1220" w:type="dxa"/>
            <w:tcBorders>
              <w:top w:val="nil"/>
              <w:left w:val="nil"/>
              <w:bottom w:val="dotted" w:sz="4" w:space="0" w:color="auto"/>
              <w:right w:val="single" w:sz="12" w:space="0" w:color="auto"/>
            </w:tcBorders>
            <w:noWrap/>
            <w:vAlign w:val="center"/>
            <w:hideMark/>
          </w:tcPr>
          <w:p w14:paraId="77700598"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20.000</w:t>
            </w:r>
          </w:p>
        </w:tc>
        <w:tc>
          <w:tcPr>
            <w:tcW w:w="1083" w:type="dxa"/>
            <w:tcBorders>
              <w:top w:val="nil"/>
              <w:left w:val="single" w:sz="12" w:space="0" w:color="595959"/>
              <w:bottom w:val="dotted" w:sz="4" w:space="0" w:color="595959"/>
              <w:right w:val="single" w:sz="4" w:space="0" w:color="auto"/>
            </w:tcBorders>
            <w:noWrap/>
            <w:vAlign w:val="center"/>
            <w:hideMark/>
          </w:tcPr>
          <w:p w14:paraId="1F939427"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46.190 </w:t>
            </w:r>
          </w:p>
        </w:tc>
        <w:tc>
          <w:tcPr>
            <w:tcW w:w="1337" w:type="dxa"/>
            <w:tcBorders>
              <w:top w:val="nil"/>
              <w:left w:val="nil"/>
              <w:bottom w:val="dotted" w:sz="4" w:space="0" w:color="595959"/>
              <w:right w:val="single" w:sz="12" w:space="0" w:color="595959"/>
            </w:tcBorders>
            <w:noWrap/>
            <w:vAlign w:val="center"/>
            <w:hideMark/>
          </w:tcPr>
          <w:p w14:paraId="7BA7606D"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46.190 </w:t>
            </w:r>
          </w:p>
        </w:tc>
        <w:tc>
          <w:tcPr>
            <w:tcW w:w="898" w:type="dxa"/>
            <w:tcBorders>
              <w:top w:val="nil"/>
              <w:left w:val="single" w:sz="12" w:space="0" w:color="auto"/>
              <w:bottom w:val="dotted" w:sz="4" w:space="0" w:color="auto"/>
              <w:right w:val="single" w:sz="4" w:space="0" w:color="auto"/>
            </w:tcBorders>
            <w:noWrap/>
            <w:vAlign w:val="center"/>
            <w:hideMark/>
          </w:tcPr>
          <w:p w14:paraId="5F2B21A5"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167</w:t>
            </w:r>
          </w:p>
        </w:tc>
        <w:tc>
          <w:tcPr>
            <w:tcW w:w="1294" w:type="dxa"/>
            <w:tcBorders>
              <w:top w:val="nil"/>
              <w:left w:val="single" w:sz="4" w:space="0" w:color="auto"/>
              <w:bottom w:val="dotted" w:sz="4" w:space="0" w:color="auto"/>
              <w:right w:val="single" w:sz="4" w:space="0" w:color="auto"/>
            </w:tcBorders>
            <w:noWrap/>
            <w:vAlign w:val="center"/>
            <w:hideMark/>
          </w:tcPr>
          <w:p w14:paraId="14B68E16"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143</w:t>
            </w:r>
          </w:p>
        </w:tc>
        <w:tc>
          <w:tcPr>
            <w:tcW w:w="1193" w:type="dxa"/>
            <w:tcBorders>
              <w:top w:val="nil"/>
              <w:left w:val="nil"/>
              <w:bottom w:val="dotted" w:sz="4" w:space="0" w:color="auto"/>
              <w:right w:val="single" w:sz="4" w:space="0" w:color="auto"/>
            </w:tcBorders>
            <w:noWrap/>
            <w:vAlign w:val="center"/>
            <w:hideMark/>
          </w:tcPr>
          <w:p w14:paraId="3A759EFC"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-24</w:t>
            </w:r>
          </w:p>
        </w:tc>
        <w:tc>
          <w:tcPr>
            <w:tcW w:w="1440" w:type="dxa"/>
            <w:tcBorders>
              <w:top w:val="nil"/>
              <w:left w:val="single" w:sz="4" w:space="0" w:color="auto"/>
              <w:bottom w:val="dotted" w:sz="4" w:space="0" w:color="auto"/>
              <w:right w:val="single" w:sz="12" w:space="0" w:color="auto"/>
            </w:tcBorders>
            <w:noWrap/>
            <w:vAlign w:val="center"/>
            <w:hideMark/>
          </w:tcPr>
          <w:p w14:paraId="4D60FDD7"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-14,33%</w:t>
            </w:r>
          </w:p>
        </w:tc>
      </w:tr>
      <w:tr w:rsidR="00C06078" w:rsidRPr="00264C55" w14:paraId="2297CCDC" w14:textId="77777777" w:rsidTr="00C84D8F">
        <w:trPr>
          <w:trHeight w:val="250"/>
        </w:trPr>
        <w:tc>
          <w:tcPr>
            <w:tcW w:w="960" w:type="dxa"/>
            <w:tcBorders>
              <w:top w:val="nil"/>
              <w:left w:val="single" w:sz="12" w:space="0" w:color="auto"/>
              <w:bottom w:val="dotted" w:sz="4" w:space="0" w:color="auto"/>
              <w:right w:val="single" w:sz="4" w:space="0" w:color="auto"/>
            </w:tcBorders>
            <w:noWrap/>
            <w:vAlign w:val="center"/>
            <w:hideMark/>
          </w:tcPr>
          <w:p w14:paraId="4C02B0B2"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20.000</w:t>
            </w:r>
          </w:p>
        </w:tc>
        <w:tc>
          <w:tcPr>
            <w:tcW w:w="1220" w:type="dxa"/>
            <w:tcBorders>
              <w:top w:val="nil"/>
              <w:left w:val="nil"/>
              <w:bottom w:val="dotted" w:sz="4" w:space="0" w:color="auto"/>
              <w:right w:val="single" w:sz="12" w:space="0" w:color="auto"/>
            </w:tcBorders>
            <w:noWrap/>
            <w:vAlign w:val="center"/>
            <w:hideMark/>
          </w:tcPr>
          <w:p w14:paraId="1E417588"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24.000</w:t>
            </w:r>
          </w:p>
        </w:tc>
        <w:tc>
          <w:tcPr>
            <w:tcW w:w="1083" w:type="dxa"/>
            <w:tcBorders>
              <w:top w:val="nil"/>
              <w:left w:val="single" w:sz="12" w:space="0" w:color="595959"/>
              <w:bottom w:val="dotted" w:sz="4" w:space="0" w:color="595959"/>
              <w:right w:val="single" w:sz="4" w:space="0" w:color="auto"/>
            </w:tcBorders>
            <w:noWrap/>
            <w:vAlign w:val="center"/>
            <w:hideMark/>
          </w:tcPr>
          <w:p w14:paraId="5046A637"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18.946 </w:t>
            </w:r>
          </w:p>
        </w:tc>
        <w:tc>
          <w:tcPr>
            <w:tcW w:w="1337" w:type="dxa"/>
            <w:tcBorders>
              <w:top w:val="nil"/>
              <w:left w:val="nil"/>
              <w:bottom w:val="dotted" w:sz="4" w:space="0" w:color="595959"/>
              <w:right w:val="single" w:sz="12" w:space="0" w:color="595959"/>
            </w:tcBorders>
            <w:noWrap/>
            <w:vAlign w:val="center"/>
            <w:hideMark/>
          </w:tcPr>
          <w:p w14:paraId="41637495"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18.946 </w:t>
            </w:r>
          </w:p>
        </w:tc>
        <w:tc>
          <w:tcPr>
            <w:tcW w:w="898" w:type="dxa"/>
            <w:tcBorders>
              <w:top w:val="nil"/>
              <w:left w:val="single" w:sz="12" w:space="0" w:color="auto"/>
              <w:bottom w:val="dotted" w:sz="4" w:space="0" w:color="auto"/>
              <w:right w:val="single" w:sz="4" w:space="0" w:color="auto"/>
            </w:tcBorders>
            <w:noWrap/>
            <w:vAlign w:val="center"/>
            <w:hideMark/>
          </w:tcPr>
          <w:p w14:paraId="1F7C417C"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100</w:t>
            </w:r>
          </w:p>
        </w:tc>
        <w:tc>
          <w:tcPr>
            <w:tcW w:w="1294" w:type="dxa"/>
            <w:tcBorders>
              <w:top w:val="nil"/>
              <w:left w:val="single" w:sz="4" w:space="0" w:color="auto"/>
              <w:bottom w:val="dotted" w:sz="4" w:space="0" w:color="auto"/>
              <w:right w:val="single" w:sz="4" w:space="0" w:color="auto"/>
            </w:tcBorders>
            <w:noWrap/>
            <w:vAlign w:val="center"/>
            <w:hideMark/>
          </w:tcPr>
          <w:p w14:paraId="7CE90537"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81</w:t>
            </w:r>
          </w:p>
        </w:tc>
        <w:tc>
          <w:tcPr>
            <w:tcW w:w="1193" w:type="dxa"/>
            <w:tcBorders>
              <w:top w:val="nil"/>
              <w:left w:val="nil"/>
              <w:bottom w:val="dotted" w:sz="4" w:space="0" w:color="auto"/>
              <w:right w:val="single" w:sz="4" w:space="0" w:color="auto"/>
            </w:tcBorders>
            <w:noWrap/>
            <w:vAlign w:val="center"/>
            <w:hideMark/>
          </w:tcPr>
          <w:p w14:paraId="127A00A6"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-19</w:t>
            </w:r>
          </w:p>
        </w:tc>
        <w:tc>
          <w:tcPr>
            <w:tcW w:w="1440" w:type="dxa"/>
            <w:tcBorders>
              <w:top w:val="nil"/>
              <w:left w:val="single" w:sz="4" w:space="0" w:color="auto"/>
              <w:bottom w:val="dotted" w:sz="4" w:space="0" w:color="auto"/>
              <w:right w:val="single" w:sz="12" w:space="0" w:color="auto"/>
            </w:tcBorders>
            <w:noWrap/>
            <w:vAlign w:val="center"/>
            <w:hideMark/>
          </w:tcPr>
          <w:p w14:paraId="6D77A8E8"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-18,78%</w:t>
            </w:r>
          </w:p>
        </w:tc>
      </w:tr>
      <w:tr w:rsidR="00C06078" w:rsidRPr="00264C55" w14:paraId="5E15369B" w14:textId="77777777" w:rsidTr="00C84D8F">
        <w:trPr>
          <w:trHeight w:val="250"/>
        </w:trPr>
        <w:tc>
          <w:tcPr>
            <w:tcW w:w="960" w:type="dxa"/>
            <w:tcBorders>
              <w:top w:val="nil"/>
              <w:left w:val="single" w:sz="12" w:space="0" w:color="auto"/>
              <w:bottom w:val="dotted" w:sz="4" w:space="0" w:color="auto"/>
              <w:right w:val="single" w:sz="4" w:space="0" w:color="auto"/>
            </w:tcBorders>
            <w:noWrap/>
            <w:vAlign w:val="center"/>
            <w:hideMark/>
          </w:tcPr>
          <w:p w14:paraId="349AE213"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24.000</w:t>
            </w:r>
          </w:p>
        </w:tc>
        <w:tc>
          <w:tcPr>
            <w:tcW w:w="1220" w:type="dxa"/>
            <w:tcBorders>
              <w:top w:val="nil"/>
              <w:left w:val="nil"/>
              <w:bottom w:val="dotted" w:sz="4" w:space="0" w:color="auto"/>
              <w:right w:val="single" w:sz="12" w:space="0" w:color="auto"/>
            </w:tcBorders>
            <w:noWrap/>
            <w:vAlign w:val="center"/>
            <w:hideMark/>
          </w:tcPr>
          <w:p w14:paraId="34DFB7B0"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30.000</w:t>
            </w:r>
          </w:p>
        </w:tc>
        <w:tc>
          <w:tcPr>
            <w:tcW w:w="1083" w:type="dxa"/>
            <w:tcBorders>
              <w:top w:val="nil"/>
              <w:left w:val="single" w:sz="12" w:space="0" w:color="595959"/>
              <w:bottom w:val="dotted" w:sz="4" w:space="0" w:color="595959"/>
              <w:right w:val="single" w:sz="4" w:space="0" w:color="auto"/>
            </w:tcBorders>
            <w:noWrap/>
            <w:vAlign w:val="center"/>
            <w:hideMark/>
          </w:tcPr>
          <w:p w14:paraId="0596AB0A"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15.414 </w:t>
            </w:r>
          </w:p>
        </w:tc>
        <w:tc>
          <w:tcPr>
            <w:tcW w:w="1337" w:type="dxa"/>
            <w:tcBorders>
              <w:top w:val="nil"/>
              <w:left w:val="nil"/>
              <w:bottom w:val="dotted" w:sz="4" w:space="0" w:color="595959"/>
              <w:right w:val="single" w:sz="12" w:space="0" w:color="595959"/>
            </w:tcBorders>
            <w:noWrap/>
            <w:vAlign w:val="center"/>
            <w:hideMark/>
          </w:tcPr>
          <w:p w14:paraId="002C58C8"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15.414 </w:t>
            </w:r>
          </w:p>
        </w:tc>
        <w:tc>
          <w:tcPr>
            <w:tcW w:w="898" w:type="dxa"/>
            <w:tcBorders>
              <w:top w:val="nil"/>
              <w:left w:val="single" w:sz="12" w:space="0" w:color="auto"/>
              <w:bottom w:val="dotted" w:sz="4" w:space="0" w:color="auto"/>
              <w:right w:val="single" w:sz="4" w:space="0" w:color="auto"/>
            </w:tcBorders>
            <w:noWrap/>
            <w:vAlign w:val="center"/>
            <w:hideMark/>
          </w:tcPr>
          <w:p w14:paraId="4056A256"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107</w:t>
            </w:r>
          </w:p>
        </w:tc>
        <w:tc>
          <w:tcPr>
            <w:tcW w:w="1294" w:type="dxa"/>
            <w:tcBorders>
              <w:top w:val="nil"/>
              <w:left w:val="single" w:sz="4" w:space="0" w:color="auto"/>
              <w:bottom w:val="dotted" w:sz="4" w:space="0" w:color="auto"/>
              <w:right w:val="single" w:sz="4" w:space="0" w:color="auto"/>
            </w:tcBorders>
            <w:noWrap/>
            <w:vAlign w:val="center"/>
            <w:hideMark/>
          </w:tcPr>
          <w:p w14:paraId="569E8121"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89</w:t>
            </w:r>
          </w:p>
        </w:tc>
        <w:tc>
          <w:tcPr>
            <w:tcW w:w="1193" w:type="dxa"/>
            <w:tcBorders>
              <w:top w:val="nil"/>
              <w:left w:val="nil"/>
              <w:bottom w:val="dotted" w:sz="4" w:space="0" w:color="auto"/>
              <w:right w:val="single" w:sz="4" w:space="0" w:color="auto"/>
            </w:tcBorders>
            <w:noWrap/>
            <w:vAlign w:val="center"/>
            <w:hideMark/>
          </w:tcPr>
          <w:p w14:paraId="19CCA695"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-18</w:t>
            </w:r>
          </w:p>
        </w:tc>
        <w:tc>
          <w:tcPr>
            <w:tcW w:w="1440" w:type="dxa"/>
            <w:tcBorders>
              <w:top w:val="nil"/>
              <w:left w:val="single" w:sz="4" w:space="0" w:color="auto"/>
              <w:bottom w:val="dotted" w:sz="4" w:space="0" w:color="auto"/>
              <w:right w:val="single" w:sz="12" w:space="0" w:color="auto"/>
            </w:tcBorders>
            <w:noWrap/>
            <w:vAlign w:val="center"/>
            <w:hideMark/>
          </w:tcPr>
          <w:p w14:paraId="5B1F6291"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-17,26%</w:t>
            </w:r>
          </w:p>
        </w:tc>
      </w:tr>
      <w:tr w:rsidR="00C06078" w:rsidRPr="00264C55" w14:paraId="148F6EA1" w14:textId="77777777" w:rsidTr="00C84D8F">
        <w:trPr>
          <w:trHeight w:val="250"/>
        </w:trPr>
        <w:tc>
          <w:tcPr>
            <w:tcW w:w="960" w:type="dxa"/>
            <w:tcBorders>
              <w:top w:val="nil"/>
              <w:left w:val="single" w:sz="12" w:space="0" w:color="auto"/>
              <w:bottom w:val="dotted" w:sz="4" w:space="0" w:color="auto"/>
              <w:right w:val="single" w:sz="4" w:space="0" w:color="auto"/>
            </w:tcBorders>
            <w:noWrap/>
            <w:vAlign w:val="center"/>
            <w:hideMark/>
          </w:tcPr>
          <w:p w14:paraId="6EDCC1A8"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30.000</w:t>
            </w:r>
          </w:p>
        </w:tc>
        <w:tc>
          <w:tcPr>
            <w:tcW w:w="1220" w:type="dxa"/>
            <w:tcBorders>
              <w:top w:val="nil"/>
              <w:left w:val="nil"/>
              <w:bottom w:val="dotted" w:sz="4" w:space="0" w:color="auto"/>
              <w:right w:val="single" w:sz="12" w:space="0" w:color="auto"/>
            </w:tcBorders>
            <w:noWrap/>
            <w:vAlign w:val="center"/>
            <w:hideMark/>
          </w:tcPr>
          <w:p w14:paraId="25FE32B5"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36.000</w:t>
            </w:r>
          </w:p>
        </w:tc>
        <w:tc>
          <w:tcPr>
            <w:tcW w:w="1083" w:type="dxa"/>
            <w:tcBorders>
              <w:top w:val="nil"/>
              <w:left w:val="single" w:sz="12" w:space="0" w:color="595959"/>
              <w:bottom w:val="dotted" w:sz="4" w:space="0" w:color="595959"/>
              <w:right w:val="single" w:sz="4" w:space="0" w:color="auto"/>
            </w:tcBorders>
            <w:noWrap/>
            <w:vAlign w:val="center"/>
            <w:hideMark/>
          </w:tcPr>
          <w:p w14:paraId="23EC1A27"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8.604 </w:t>
            </w:r>
          </w:p>
        </w:tc>
        <w:tc>
          <w:tcPr>
            <w:tcW w:w="1337" w:type="dxa"/>
            <w:tcBorders>
              <w:top w:val="nil"/>
              <w:left w:val="nil"/>
              <w:bottom w:val="dotted" w:sz="4" w:space="0" w:color="595959"/>
              <w:right w:val="single" w:sz="12" w:space="0" w:color="595959"/>
            </w:tcBorders>
            <w:noWrap/>
            <w:vAlign w:val="center"/>
            <w:hideMark/>
          </w:tcPr>
          <w:p w14:paraId="33B42030"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8.604 </w:t>
            </w:r>
          </w:p>
        </w:tc>
        <w:tc>
          <w:tcPr>
            <w:tcW w:w="898" w:type="dxa"/>
            <w:tcBorders>
              <w:top w:val="nil"/>
              <w:left w:val="single" w:sz="12" w:space="0" w:color="auto"/>
              <w:bottom w:val="dotted" w:sz="4" w:space="0" w:color="auto"/>
              <w:right w:val="single" w:sz="4" w:space="0" w:color="auto"/>
            </w:tcBorders>
            <w:noWrap/>
            <w:vAlign w:val="center"/>
            <w:hideMark/>
          </w:tcPr>
          <w:p w14:paraId="204398FF"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78</w:t>
            </w:r>
          </w:p>
        </w:tc>
        <w:tc>
          <w:tcPr>
            <w:tcW w:w="1294" w:type="dxa"/>
            <w:tcBorders>
              <w:top w:val="nil"/>
              <w:left w:val="single" w:sz="4" w:space="0" w:color="auto"/>
              <w:bottom w:val="dotted" w:sz="4" w:space="0" w:color="auto"/>
              <w:right w:val="single" w:sz="4" w:space="0" w:color="auto"/>
            </w:tcBorders>
            <w:noWrap/>
            <w:vAlign w:val="center"/>
            <w:hideMark/>
          </w:tcPr>
          <w:p w14:paraId="5C513405"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68</w:t>
            </w:r>
          </w:p>
        </w:tc>
        <w:tc>
          <w:tcPr>
            <w:tcW w:w="1193" w:type="dxa"/>
            <w:tcBorders>
              <w:top w:val="nil"/>
              <w:left w:val="nil"/>
              <w:bottom w:val="dotted" w:sz="4" w:space="0" w:color="auto"/>
              <w:right w:val="single" w:sz="4" w:space="0" w:color="auto"/>
            </w:tcBorders>
            <w:noWrap/>
            <w:vAlign w:val="center"/>
            <w:hideMark/>
          </w:tcPr>
          <w:p w14:paraId="3245854D"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-10</w:t>
            </w:r>
          </w:p>
        </w:tc>
        <w:tc>
          <w:tcPr>
            <w:tcW w:w="1440" w:type="dxa"/>
            <w:tcBorders>
              <w:top w:val="nil"/>
              <w:left w:val="single" w:sz="4" w:space="0" w:color="auto"/>
              <w:bottom w:val="dotted" w:sz="4" w:space="0" w:color="auto"/>
              <w:right w:val="single" w:sz="12" w:space="0" w:color="auto"/>
            </w:tcBorders>
            <w:noWrap/>
            <w:vAlign w:val="center"/>
            <w:hideMark/>
          </w:tcPr>
          <w:p w14:paraId="30179A83"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-13,31%</w:t>
            </w:r>
          </w:p>
        </w:tc>
      </w:tr>
      <w:tr w:rsidR="00C06078" w:rsidRPr="00264C55" w14:paraId="6316DAFE" w14:textId="77777777" w:rsidTr="00C84D8F">
        <w:trPr>
          <w:trHeight w:val="250"/>
        </w:trPr>
        <w:tc>
          <w:tcPr>
            <w:tcW w:w="960" w:type="dxa"/>
            <w:tcBorders>
              <w:top w:val="nil"/>
              <w:left w:val="single" w:sz="12" w:space="0" w:color="auto"/>
              <w:bottom w:val="dotted" w:sz="4" w:space="0" w:color="auto"/>
              <w:right w:val="single" w:sz="4" w:space="0" w:color="auto"/>
            </w:tcBorders>
            <w:noWrap/>
            <w:vAlign w:val="center"/>
            <w:hideMark/>
          </w:tcPr>
          <w:p w14:paraId="5D93E490"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36.000</w:t>
            </w:r>
          </w:p>
        </w:tc>
        <w:tc>
          <w:tcPr>
            <w:tcW w:w="1220" w:type="dxa"/>
            <w:tcBorders>
              <w:top w:val="nil"/>
              <w:left w:val="nil"/>
              <w:bottom w:val="dotted" w:sz="4" w:space="0" w:color="auto"/>
              <w:right w:val="single" w:sz="12" w:space="0" w:color="auto"/>
            </w:tcBorders>
            <w:noWrap/>
            <w:vAlign w:val="center"/>
            <w:hideMark/>
          </w:tcPr>
          <w:p w14:paraId="0DB44C7F"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40.000</w:t>
            </w:r>
          </w:p>
        </w:tc>
        <w:tc>
          <w:tcPr>
            <w:tcW w:w="1083" w:type="dxa"/>
            <w:tcBorders>
              <w:top w:val="nil"/>
              <w:left w:val="single" w:sz="12" w:space="0" w:color="595959"/>
              <w:bottom w:val="dotted" w:sz="4" w:space="0" w:color="595959"/>
              <w:right w:val="single" w:sz="4" w:space="0" w:color="auto"/>
            </w:tcBorders>
            <w:noWrap/>
            <w:vAlign w:val="center"/>
            <w:hideMark/>
          </w:tcPr>
          <w:p w14:paraId="58E751FE"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3.633 </w:t>
            </w:r>
          </w:p>
        </w:tc>
        <w:tc>
          <w:tcPr>
            <w:tcW w:w="1337" w:type="dxa"/>
            <w:tcBorders>
              <w:top w:val="nil"/>
              <w:left w:val="nil"/>
              <w:bottom w:val="dotted" w:sz="4" w:space="0" w:color="595959"/>
              <w:right w:val="single" w:sz="12" w:space="0" w:color="595959"/>
            </w:tcBorders>
            <w:noWrap/>
            <w:vAlign w:val="center"/>
            <w:hideMark/>
          </w:tcPr>
          <w:p w14:paraId="3D415D68"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3.633 </w:t>
            </w:r>
          </w:p>
        </w:tc>
        <w:tc>
          <w:tcPr>
            <w:tcW w:w="898" w:type="dxa"/>
            <w:tcBorders>
              <w:top w:val="nil"/>
              <w:left w:val="single" w:sz="12" w:space="0" w:color="auto"/>
              <w:bottom w:val="dotted" w:sz="4" w:space="0" w:color="auto"/>
              <w:right w:val="single" w:sz="4" w:space="0" w:color="auto"/>
            </w:tcBorders>
            <w:noWrap/>
            <w:vAlign w:val="center"/>
            <w:hideMark/>
          </w:tcPr>
          <w:p w14:paraId="0FA93A59"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40</w:t>
            </w:r>
          </w:p>
        </w:tc>
        <w:tc>
          <w:tcPr>
            <w:tcW w:w="1294" w:type="dxa"/>
            <w:tcBorders>
              <w:top w:val="nil"/>
              <w:left w:val="single" w:sz="4" w:space="0" w:color="auto"/>
              <w:bottom w:val="dotted" w:sz="4" w:space="0" w:color="auto"/>
              <w:right w:val="single" w:sz="4" w:space="0" w:color="auto"/>
            </w:tcBorders>
            <w:noWrap/>
            <w:vAlign w:val="center"/>
            <w:hideMark/>
          </w:tcPr>
          <w:p w14:paraId="6A301A75"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36</w:t>
            </w:r>
          </w:p>
        </w:tc>
        <w:tc>
          <w:tcPr>
            <w:tcW w:w="1193" w:type="dxa"/>
            <w:tcBorders>
              <w:top w:val="nil"/>
              <w:left w:val="nil"/>
              <w:bottom w:val="dotted" w:sz="4" w:space="0" w:color="auto"/>
              <w:right w:val="single" w:sz="4" w:space="0" w:color="auto"/>
            </w:tcBorders>
            <w:noWrap/>
            <w:vAlign w:val="center"/>
            <w:hideMark/>
          </w:tcPr>
          <w:p w14:paraId="5273E833"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-5</w:t>
            </w:r>
          </w:p>
        </w:tc>
        <w:tc>
          <w:tcPr>
            <w:tcW w:w="1440" w:type="dxa"/>
            <w:tcBorders>
              <w:top w:val="nil"/>
              <w:left w:val="single" w:sz="4" w:space="0" w:color="auto"/>
              <w:bottom w:val="dotted" w:sz="4" w:space="0" w:color="auto"/>
              <w:right w:val="single" w:sz="12" w:space="0" w:color="auto"/>
            </w:tcBorders>
            <w:noWrap/>
            <w:vAlign w:val="center"/>
            <w:hideMark/>
          </w:tcPr>
          <w:p w14:paraId="439FC35F"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-11,66%</w:t>
            </w:r>
          </w:p>
        </w:tc>
      </w:tr>
      <w:tr w:rsidR="00C06078" w:rsidRPr="00264C55" w14:paraId="1C40F926" w14:textId="77777777" w:rsidTr="00C84D8F">
        <w:trPr>
          <w:trHeight w:val="250"/>
        </w:trPr>
        <w:tc>
          <w:tcPr>
            <w:tcW w:w="960" w:type="dxa"/>
            <w:tcBorders>
              <w:top w:val="nil"/>
              <w:left w:val="single" w:sz="12" w:space="0" w:color="auto"/>
              <w:bottom w:val="dotted" w:sz="4" w:space="0" w:color="auto"/>
              <w:right w:val="single" w:sz="4" w:space="0" w:color="auto"/>
            </w:tcBorders>
            <w:noWrap/>
            <w:vAlign w:val="center"/>
            <w:hideMark/>
          </w:tcPr>
          <w:p w14:paraId="7EDC270C"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40.000</w:t>
            </w:r>
          </w:p>
        </w:tc>
        <w:tc>
          <w:tcPr>
            <w:tcW w:w="1220" w:type="dxa"/>
            <w:tcBorders>
              <w:top w:val="nil"/>
              <w:left w:val="nil"/>
              <w:bottom w:val="dotted" w:sz="4" w:space="0" w:color="auto"/>
              <w:right w:val="single" w:sz="12" w:space="0" w:color="auto"/>
            </w:tcBorders>
            <w:noWrap/>
            <w:vAlign w:val="center"/>
            <w:hideMark/>
          </w:tcPr>
          <w:p w14:paraId="5ED30353"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45.000</w:t>
            </w:r>
          </w:p>
        </w:tc>
        <w:tc>
          <w:tcPr>
            <w:tcW w:w="1083" w:type="dxa"/>
            <w:tcBorders>
              <w:top w:val="nil"/>
              <w:left w:val="single" w:sz="12" w:space="0" w:color="595959"/>
              <w:bottom w:val="dotted" w:sz="4" w:space="0" w:color="595959"/>
              <w:right w:val="single" w:sz="4" w:space="0" w:color="auto"/>
            </w:tcBorders>
            <w:noWrap/>
            <w:vAlign w:val="center"/>
            <w:hideMark/>
          </w:tcPr>
          <w:p w14:paraId="60336CAE"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3.103 </w:t>
            </w:r>
          </w:p>
        </w:tc>
        <w:tc>
          <w:tcPr>
            <w:tcW w:w="1337" w:type="dxa"/>
            <w:tcBorders>
              <w:top w:val="nil"/>
              <w:left w:val="nil"/>
              <w:bottom w:val="dotted" w:sz="4" w:space="0" w:color="595959"/>
              <w:right w:val="single" w:sz="12" w:space="0" w:color="595959"/>
            </w:tcBorders>
            <w:noWrap/>
            <w:vAlign w:val="center"/>
            <w:hideMark/>
          </w:tcPr>
          <w:p w14:paraId="2FDD2DC6"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3.103 </w:t>
            </w:r>
          </w:p>
        </w:tc>
        <w:tc>
          <w:tcPr>
            <w:tcW w:w="898" w:type="dxa"/>
            <w:tcBorders>
              <w:top w:val="nil"/>
              <w:left w:val="single" w:sz="12" w:space="0" w:color="auto"/>
              <w:bottom w:val="dotted" w:sz="4" w:space="0" w:color="auto"/>
              <w:right w:val="single" w:sz="4" w:space="0" w:color="auto"/>
            </w:tcBorders>
            <w:noWrap/>
            <w:vAlign w:val="center"/>
            <w:hideMark/>
          </w:tcPr>
          <w:p w14:paraId="5331C13F"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41</w:t>
            </w:r>
          </w:p>
        </w:tc>
        <w:tc>
          <w:tcPr>
            <w:tcW w:w="1294" w:type="dxa"/>
            <w:tcBorders>
              <w:top w:val="nil"/>
              <w:left w:val="single" w:sz="4" w:space="0" w:color="auto"/>
              <w:bottom w:val="dotted" w:sz="4" w:space="0" w:color="auto"/>
              <w:right w:val="single" w:sz="4" w:space="0" w:color="auto"/>
            </w:tcBorders>
            <w:noWrap/>
            <w:vAlign w:val="center"/>
            <w:hideMark/>
          </w:tcPr>
          <w:p w14:paraId="36CF7032"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37</w:t>
            </w:r>
          </w:p>
        </w:tc>
        <w:tc>
          <w:tcPr>
            <w:tcW w:w="1193" w:type="dxa"/>
            <w:tcBorders>
              <w:top w:val="nil"/>
              <w:left w:val="nil"/>
              <w:bottom w:val="dotted" w:sz="4" w:space="0" w:color="auto"/>
              <w:right w:val="single" w:sz="4" w:space="0" w:color="auto"/>
            </w:tcBorders>
            <w:noWrap/>
            <w:vAlign w:val="center"/>
            <w:hideMark/>
          </w:tcPr>
          <w:p w14:paraId="4F0FEDA1"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-4</w:t>
            </w:r>
          </w:p>
        </w:tc>
        <w:tc>
          <w:tcPr>
            <w:tcW w:w="1440" w:type="dxa"/>
            <w:tcBorders>
              <w:top w:val="nil"/>
              <w:left w:val="single" w:sz="4" w:space="0" w:color="auto"/>
              <w:bottom w:val="dotted" w:sz="4" w:space="0" w:color="auto"/>
              <w:right w:val="single" w:sz="12" w:space="0" w:color="auto"/>
            </w:tcBorders>
            <w:noWrap/>
            <w:vAlign w:val="center"/>
            <w:hideMark/>
          </w:tcPr>
          <w:p w14:paraId="311C0D8F"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-9,88%</w:t>
            </w:r>
          </w:p>
        </w:tc>
      </w:tr>
      <w:tr w:rsidR="00C06078" w:rsidRPr="00264C55" w14:paraId="1619744A" w14:textId="77777777" w:rsidTr="00C84D8F">
        <w:trPr>
          <w:trHeight w:val="260"/>
        </w:trPr>
        <w:tc>
          <w:tcPr>
            <w:tcW w:w="2180" w:type="dxa"/>
            <w:gridSpan w:val="2"/>
            <w:tcBorders>
              <w:top w:val="dotted" w:sz="4" w:space="0" w:color="auto"/>
              <w:left w:val="single" w:sz="12" w:space="0" w:color="auto"/>
              <w:bottom w:val="nil"/>
              <w:right w:val="single" w:sz="12" w:space="0" w:color="000000"/>
            </w:tcBorders>
            <w:noWrap/>
            <w:vAlign w:val="center"/>
            <w:hideMark/>
          </w:tcPr>
          <w:p w14:paraId="03A2E440" w14:textId="77777777" w:rsidR="00C06078" w:rsidRPr="00264C55" w:rsidRDefault="00C06078" w:rsidP="00C84D8F">
            <w:pPr>
              <w:spacing w:after="0" w:line="240" w:lineRule="auto"/>
              <w:jc w:val="center"/>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45.000</w:t>
            </w:r>
          </w:p>
        </w:tc>
        <w:tc>
          <w:tcPr>
            <w:tcW w:w="1083" w:type="dxa"/>
            <w:tcBorders>
              <w:top w:val="nil"/>
              <w:left w:val="single" w:sz="12" w:space="0" w:color="595959"/>
              <w:bottom w:val="nil"/>
              <w:right w:val="single" w:sz="4" w:space="0" w:color="auto"/>
            </w:tcBorders>
            <w:noWrap/>
            <w:vAlign w:val="center"/>
            <w:hideMark/>
          </w:tcPr>
          <w:p w14:paraId="1B1B1CA1" w14:textId="77777777" w:rsidR="00C06078" w:rsidRPr="00264C55" w:rsidRDefault="00C06078" w:rsidP="00C84D8F">
            <w:pPr>
              <w:spacing w:after="0" w:line="240" w:lineRule="auto"/>
              <w:jc w:val="right"/>
              <w:rPr>
                <w:rFonts w:ascii="Century Schoolbook" w:eastAsia="Times New Roman" w:hAnsi="Century Schoolbook" w:cs="Arial"/>
                <w:kern w:val="0"/>
                <w:sz w:val="32"/>
                <w:szCs w:val="32"/>
                <w14:ligatures w14:val="none"/>
              </w:rPr>
            </w:pPr>
            <w:r w:rsidRPr="00264C55">
              <w:rPr>
                <w:rFonts w:ascii="Century Schoolbook" w:eastAsia="Times New Roman" w:hAnsi="Century Schoolbook" w:cs="Arial"/>
                <w:kern w:val="0"/>
                <w:sz w:val="32"/>
                <w:szCs w:val="32"/>
                <w14:ligatures w14:val="none"/>
              </w:rPr>
              <w:t xml:space="preserve">9.492 </w:t>
            </w:r>
          </w:p>
        </w:tc>
        <w:tc>
          <w:tcPr>
            <w:tcW w:w="1337" w:type="dxa"/>
            <w:tcBorders>
              <w:top w:val="nil"/>
              <w:left w:val="nil"/>
              <w:bottom w:val="nil"/>
              <w:right w:val="single" w:sz="12" w:space="0" w:color="595959"/>
            </w:tcBorders>
            <w:noWrap/>
            <w:vAlign w:val="center"/>
            <w:hideMark/>
          </w:tcPr>
          <w:p w14:paraId="7A261ADC"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9.492 </w:t>
            </w:r>
          </w:p>
        </w:tc>
        <w:tc>
          <w:tcPr>
            <w:tcW w:w="898" w:type="dxa"/>
            <w:tcBorders>
              <w:top w:val="nil"/>
              <w:left w:val="single" w:sz="12" w:space="0" w:color="auto"/>
              <w:bottom w:val="nil"/>
              <w:right w:val="single" w:sz="4" w:space="0" w:color="auto"/>
            </w:tcBorders>
            <w:noWrap/>
            <w:vAlign w:val="center"/>
            <w:hideMark/>
          </w:tcPr>
          <w:p w14:paraId="22E169FA"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256</w:t>
            </w:r>
          </w:p>
        </w:tc>
        <w:tc>
          <w:tcPr>
            <w:tcW w:w="1294" w:type="dxa"/>
            <w:tcBorders>
              <w:top w:val="nil"/>
              <w:left w:val="nil"/>
              <w:bottom w:val="nil"/>
              <w:right w:val="single" w:sz="4" w:space="0" w:color="auto"/>
            </w:tcBorders>
            <w:noWrap/>
            <w:vAlign w:val="center"/>
            <w:hideMark/>
          </w:tcPr>
          <w:p w14:paraId="3CAB5FA2"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244</w:t>
            </w:r>
          </w:p>
        </w:tc>
        <w:tc>
          <w:tcPr>
            <w:tcW w:w="1193" w:type="dxa"/>
            <w:tcBorders>
              <w:top w:val="nil"/>
              <w:left w:val="nil"/>
              <w:bottom w:val="nil"/>
              <w:right w:val="single" w:sz="4" w:space="0" w:color="auto"/>
            </w:tcBorders>
            <w:noWrap/>
            <w:vAlign w:val="center"/>
            <w:hideMark/>
          </w:tcPr>
          <w:p w14:paraId="15808C17"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-12</w:t>
            </w:r>
          </w:p>
        </w:tc>
        <w:tc>
          <w:tcPr>
            <w:tcW w:w="1440" w:type="dxa"/>
            <w:tcBorders>
              <w:top w:val="nil"/>
              <w:left w:val="nil"/>
              <w:bottom w:val="single" w:sz="12" w:space="0" w:color="auto"/>
              <w:right w:val="single" w:sz="12" w:space="0" w:color="auto"/>
            </w:tcBorders>
            <w:noWrap/>
            <w:vAlign w:val="center"/>
            <w:hideMark/>
          </w:tcPr>
          <w:p w14:paraId="7F8B17B5" w14:textId="77777777" w:rsidR="00C06078" w:rsidRPr="00264C55" w:rsidRDefault="00C06078" w:rsidP="00C84D8F">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-4,82%</w:t>
            </w:r>
          </w:p>
        </w:tc>
      </w:tr>
      <w:tr w:rsidR="00C06078" w:rsidRPr="00264C55" w14:paraId="4A16B063" w14:textId="77777777" w:rsidTr="00C84D8F">
        <w:trPr>
          <w:trHeight w:val="270"/>
        </w:trPr>
        <w:tc>
          <w:tcPr>
            <w:tcW w:w="2180" w:type="dxa"/>
            <w:gridSpan w:val="2"/>
            <w:tcBorders>
              <w:top w:val="single" w:sz="12" w:space="0" w:color="auto"/>
              <w:left w:val="single" w:sz="12" w:space="0" w:color="auto"/>
              <w:bottom w:val="single" w:sz="12" w:space="0" w:color="auto"/>
              <w:right w:val="single" w:sz="12" w:space="0" w:color="000000"/>
            </w:tcBorders>
            <w:shd w:val="clear" w:color="000000" w:fill="595959"/>
            <w:noWrap/>
            <w:vAlign w:val="center"/>
            <w:hideMark/>
          </w:tcPr>
          <w:p w14:paraId="698F0655" w14:textId="77777777" w:rsidR="00C06078" w:rsidRPr="00264C55" w:rsidRDefault="00C06078" w:rsidP="00C84D8F">
            <w:pPr>
              <w:spacing w:after="0" w:line="240" w:lineRule="auto"/>
              <w:jc w:val="center"/>
              <w:rPr>
                <w:rFonts w:ascii="Century Schoolbook" w:eastAsia="Times New Roman" w:hAnsi="Century Schoolbook" w:cs="Arial"/>
                <w:b/>
                <w:bCs/>
                <w:color w:val="FFFFFF"/>
                <w:kern w:val="0"/>
                <w:sz w:val="32"/>
                <w:szCs w:val="32"/>
                <w14:ligatures w14:val="none"/>
              </w:rPr>
            </w:pPr>
            <w:r w:rsidRPr="00264C55">
              <w:rPr>
                <w:rFonts w:ascii="Century Schoolbook" w:eastAsia="Times New Roman" w:hAnsi="Century Schoolbook" w:cs="Arial"/>
                <w:b/>
                <w:bCs/>
                <w:color w:val="FFFFFF"/>
                <w:kern w:val="0"/>
                <w:sz w:val="32"/>
                <w:szCs w:val="32"/>
                <w14:ligatures w14:val="none"/>
              </w:rPr>
              <w:t>Σύνολα</w:t>
            </w:r>
          </w:p>
        </w:tc>
        <w:tc>
          <w:tcPr>
            <w:tcW w:w="1083" w:type="dxa"/>
            <w:tcBorders>
              <w:top w:val="single" w:sz="8" w:space="0" w:color="595959"/>
              <w:left w:val="single" w:sz="12" w:space="0" w:color="595959"/>
              <w:bottom w:val="single" w:sz="12" w:space="0" w:color="595959"/>
              <w:right w:val="single" w:sz="4" w:space="0" w:color="auto"/>
            </w:tcBorders>
            <w:noWrap/>
            <w:vAlign w:val="center"/>
            <w:hideMark/>
          </w:tcPr>
          <w:p w14:paraId="2EF2E7B6" w14:textId="77777777" w:rsidR="00C06078" w:rsidRPr="00264C55" w:rsidRDefault="00C06078" w:rsidP="00C84D8F">
            <w:pPr>
              <w:spacing w:after="0" w:line="240" w:lineRule="auto"/>
              <w:jc w:val="right"/>
              <w:rPr>
                <w:rFonts w:ascii="Century Schoolbook" w:eastAsia="Times New Roman" w:hAnsi="Century Schoolbook" w:cs="Arial"/>
                <w:b/>
                <w:bCs/>
                <w:color w:val="000000"/>
                <w:kern w:val="0"/>
                <w:sz w:val="32"/>
                <w:szCs w:val="32"/>
                <w14:ligatures w14:val="none"/>
              </w:rPr>
            </w:pPr>
            <w:r w:rsidRPr="00264C55">
              <w:rPr>
                <w:rFonts w:ascii="Century Schoolbook" w:eastAsia="Times New Roman" w:hAnsi="Century Schoolbook" w:cs="Arial"/>
                <w:b/>
                <w:bCs/>
                <w:color w:val="000000"/>
                <w:kern w:val="0"/>
                <w:sz w:val="32"/>
                <w:szCs w:val="32"/>
                <w14:ligatures w14:val="none"/>
              </w:rPr>
              <w:t xml:space="preserve">2.058.505 </w:t>
            </w:r>
          </w:p>
        </w:tc>
        <w:tc>
          <w:tcPr>
            <w:tcW w:w="1337" w:type="dxa"/>
            <w:tcBorders>
              <w:top w:val="single" w:sz="8" w:space="0" w:color="595959"/>
              <w:left w:val="nil"/>
              <w:bottom w:val="single" w:sz="12" w:space="0" w:color="595959"/>
              <w:right w:val="single" w:sz="12" w:space="0" w:color="595959"/>
            </w:tcBorders>
            <w:noWrap/>
            <w:vAlign w:val="center"/>
            <w:hideMark/>
          </w:tcPr>
          <w:p w14:paraId="37AFFC1F" w14:textId="77777777" w:rsidR="00C06078" w:rsidRPr="00264C55" w:rsidRDefault="00C06078" w:rsidP="00C84D8F">
            <w:pPr>
              <w:spacing w:after="0" w:line="240" w:lineRule="auto"/>
              <w:jc w:val="right"/>
              <w:rPr>
                <w:rFonts w:ascii="Century Schoolbook" w:eastAsia="Times New Roman" w:hAnsi="Century Schoolbook" w:cs="Arial"/>
                <w:b/>
                <w:bCs/>
                <w:color w:val="000000"/>
                <w:kern w:val="0"/>
                <w:sz w:val="32"/>
                <w:szCs w:val="32"/>
                <w14:ligatures w14:val="none"/>
              </w:rPr>
            </w:pPr>
            <w:r w:rsidRPr="00264C55">
              <w:rPr>
                <w:rFonts w:ascii="Century Schoolbook" w:eastAsia="Times New Roman" w:hAnsi="Century Schoolbook" w:cs="Arial"/>
                <w:b/>
                <w:bCs/>
                <w:color w:val="000000"/>
                <w:kern w:val="0"/>
                <w:sz w:val="32"/>
                <w:szCs w:val="32"/>
                <w14:ligatures w14:val="none"/>
              </w:rPr>
              <w:t xml:space="preserve">161.587 </w:t>
            </w:r>
          </w:p>
        </w:tc>
        <w:tc>
          <w:tcPr>
            <w:tcW w:w="898" w:type="dxa"/>
            <w:tcBorders>
              <w:top w:val="single" w:sz="12" w:space="0" w:color="auto"/>
              <w:left w:val="single" w:sz="12" w:space="0" w:color="auto"/>
              <w:bottom w:val="single" w:sz="12" w:space="0" w:color="auto"/>
              <w:right w:val="single" w:sz="4" w:space="0" w:color="auto"/>
            </w:tcBorders>
            <w:shd w:val="clear" w:color="000000" w:fill="F2F2F2"/>
            <w:noWrap/>
            <w:vAlign w:val="center"/>
            <w:hideMark/>
          </w:tcPr>
          <w:p w14:paraId="75680448" w14:textId="77777777" w:rsidR="00C06078" w:rsidRPr="00264C55" w:rsidRDefault="00C06078" w:rsidP="00C84D8F">
            <w:pPr>
              <w:spacing w:after="0" w:line="240" w:lineRule="auto"/>
              <w:jc w:val="right"/>
              <w:rPr>
                <w:rFonts w:ascii="Century Schoolbook" w:eastAsia="Times New Roman" w:hAnsi="Century Schoolbook" w:cs="Arial"/>
                <w:b/>
                <w:bCs/>
                <w:color w:val="000000"/>
                <w:kern w:val="0"/>
                <w:sz w:val="32"/>
                <w:szCs w:val="32"/>
                <w14:ligatures w14:val="none"/>
              </w:rPr>
            </w:pPr>
            <w:r w:rsidRPr="00264C55">
              <w:rPr>
                <w:rFonts w:ascii="Century Schoolbook" w:eastAsia="Times New Roman" w:hAnsi="Century Schoolbook" w:cs="Arial"/>
                <w:b/>
                <w:bCs/>
                <w:color w:val="000000"/>
                <w:kern w:val="0"/>
                <w:sz w:val="32"/>
                <w:szCs w:val="32"/>
                <w14:ligatures w14:val="none"/>
              </w:rPr>
              <w:t>1.733</w:t>
            </w:r>
          </w:p>
        </w:tc>
        <w:tc>
          <w:tcPr>
            <w:tcW w:w="1294" w:type="dxa"/>
            <w:tcBorders>
              <w:top w:val="single" w:sz="12" w:space="0" w:color="auto"/>
              <w:left w:val="nil"/>
              <w:bottom w:val="single" w:sz="12" w:space="0" w:color="auto"/>
              <w:right w:val="single" w:sz="4" w:space="0" w:color="auto"/>
            </w:tcBorders>
            <w:shd w:val="clear" w:color="000000" w:fill="F2F2F2"/>
            <w:noWrap/>
            <w:vAlign w:val="center"/>
            <w:hideMark/>
          </w:tcPr>
          <w:p w14:paraId="327921E3" w14:textId="77777777" w:rsidR="00C06078" w:rsidRPr="00264C55" w:rsidRDefault="00C06078" w:rsidP="00C84D8F">
            <w:pPr>
              <w:spacing w:after="0" w:line="240" w:lineRule="auto"/>
              <w:jc w:val="right"/>
              <w:rPr>
                <w:rFonts w:ascii="Century Schoolbook" w:eastAsia="Times New Roman" w:hAnsi="Century Schoolbook" w:cs="Arial"/>
                <w:b/>
                <w:bCs/>
                <w:color w:val="000000"/>
                <w:kern w:val="0"/>
                <w:sz w:val="32"/>
                <w:szCs w:val="32"/>
                <w14:ligatures w14:val="none"/>
              </w:rPr>
            </w:pPr>
            <w:r w:rsidRPr="00264C55">
              <w:rPr>
                <w:rFonts w:ascii="Century Schoolbook" w:eastAsia="Times New Roman" w:hAnsi="Century Schoolbook" w:cs="Arial"/>
                <w:b/>
                <w:bCs/>
                <w:color w:val="000000"/>
                <w:kern w:val="0"/>
                <w:sz w:val="32"/>
                <w:szCs w:val="32"/>
                <w14:ligatures w14:val="none"/>
              </w:rPr>
              <w:t>1.633</w:t>
            </w:r>
          </w:p>
        </w:tc>
        <w:tc>
          <w:tcPr>
            <w:tcW w:w="1193" w:type="dxa"/>
            <w:tcBorders>
              <w:top w:val="single" w:sz="12" w:space="0" w:color="auto"/>
              <w:left w:val="nil"/>
              <w:bottom w:val="single" w:sz="12" w:space="0" w:color="auto"/>
              <w:right w:val="single" w:sz="4" w:space="0" w:color="auto"/>
            </w:tcBorders>
            <w:shd w:val="clear" w:color="000000" w:fill="F2F2F2"/>
            <w:noWrap/>
            <w:vAlign w:val="center"/>
            <w:hideMark/>
          </w:tcPr>
          <w:p w14:paraId="6C15D24F" w14:textId="77777777" w:rsidR="00C06078" w:rsidRPr="00264C55" w:rsidRDefault="00C06078" w:rsidP="00C84D8F">
            <w:pPr>
              <w:spacing w:after="0" w:line="240" w:lineRule="auto"/>
              <w:jc w:val="right"/>
              <w:rPr>
                <w:rFonts w:ascii="Century Schoolbook" w:eastAsia="Times New Roman" w:hAnsi="Century Schoolbook" w:cs="Arial"/>
                <w:b/>
                <w:bCs/>
                <w:color w:val="000000"/>
                <w:kern w:val="0"/>
                <w:sz w:val="32"/>
                <w:szCs w:val="32"/>
                <w14:ligatures w14:val="none"/>
              </w:rPr>
            </w:pPr>
            <w:r w:rsidRPr="00264C55">
              <w:rPr>
                <w:rFonts w:ascii="Century Schoolbook" w:eastAsia="Times New Roman" w:hAnsi="Century Schoolbook" w:cs="Arial"/>
                <w:b/>
                <w:bCs/>
                <w:color w:val="000000"/>
                <w:kern w:val="0"/>
                <w:sz w:val="32"/>
                <w:szCs w:val="32"/>
                <w14:ligatures w14:val="none"/>
              </w:rPr>
              <w:t>-100</w:t>
            </w:r>
          </w:p>
        </w:tc>
        <w:tc>
          <w:tcPr>
            <w:tcW w:w="1440" w:type="dxa"/>
            <w:tcBorders>
              <w:top w:val="nil"/>
              <w:left w:val="nil"/>
              <w:bottom w:val="single" w:sz="12" w:space="0" w:color="auto"/>
              <w:right w:val="single" w:sz="12" w:space="0" w:color="auto"/>
            </w:tcBorders>
            <w:noWrap/>
            <w:vAlign w:val="center"/>
            <w:hideMark/>
          </w:tcPr>
          <w:p w14:paraId="1C322088" w14:textId="77777777" w:rsidR="00C06078" w:rsidRPr="00264C55" w:rsidRDefault="00C06078" w:rsidP="00C84D8F">
            <w:pPr>
              <w:spacing w:after="0" w:line="240" w:lineRule="auto"/>
              <w:jc w:val="right"/>
              <w:rPr>
                <w:rFonts w:ascii="Century Schoolbook" w:eastAsia="Times New Roman" w:hAnsi="Century Schoolbook" w:cs="Arial"/>
                <w:b/>
                <w:bCs/>
                <w:color w:val="000000"/>
                <w:kern w:val="0"/>
                <w:sz w:val="32"/>
                <w:szCs w:val="32"/>
                <w14:ligatures w14:val="none"/>
              </w:rPr>
            </w:pPr>
            <w:r w:rsidRPr="00264C55">
              <w:rPr>
                <w:rFonts w:ascii="Century Schoolbook" w:eastAsia="Times New Roman" w:hAnsi="Century Schoolbook" w:cs="Arial"/>
                <w:b/>
                <w:bCs/>
                <w:color w:val="000000"/>
                <w:kern w:val="0"/>
                <w:sz w:val="32"/>
                <w:szCs w:val="32"/>
                <w14:ligatures w14:val="none"/>
              </w:rPr>
              <w:t>-5,79%</w:t>
            </w:r>
          </w:p>
        </w:tc>
      </w:tr>
    </w:tbl>
    <w:p w14:paraId="63799B88" w14:textId="77777777" w:rsidR="00C06078" w:rsidRPr="00264C55" w:rsidRDefault="00C06078" w:rsidP="00C06078">
      <w:pPr>
        <w:rPr>
          <w:sz w:val="32"/>
          <w:szCs w:val="32"/>
          <w:lang w:val="el-GR"/>
        </w:rPr>
      </w:pPr>
    </w:p>
    <w:p w14:paraId="28AC0771" w14:textId="77777777" w:rsidR="001572FD" w:rsidRPr="00C06078" w:rsidRDefault="001572FD" w:rsidP="00C06078"/>
    <w:sectPr w:rsidR="001572FD" w:rsidRPr="00C06078" w:rsidSect="00AC197E">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entury Schoolbook">
    <w:panose1 w:val="0204060405050502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B017C"/>
    <w:multiLevelType w:val="hybridMultilevel"/>
    <w:tmpl w:val="1F72B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E131E0"/>
    <w:multiLevelType w:val="hybridMultilevel"/>
    <w:tmpl w:val="37763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A448DD"/>
    <w:multiLevelType w:val="hybridMultilevel"/>
    <w:tmpl w:val="4C2A7BB4"/>
    <w:lvl w:ilvl="0" w:tplc="2B2E0D22">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66A0578C"/>
    <w:multiLevelType w:val="hybridMultilevel"/>
    <w:tmpl w:val="9FCE33B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899433687">
    <w:abstractNumId w:val="0"/>
  </w:num>
  <w:num w:numId="2" w16cid:durableId="1403674850">
    <w:abstractNumId w:val="1"/>
  </w:num>
  <w:num w:numId="3" w16cid:durableId="1697384513">
    <w:abstractNumId w:val="2"/>
  </w:num>
  <w:num w:numId="4" w16cid:durableId="1759280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97E"/>
    <w:rsid w:val="00093492"/>
    <w:rsid w:val="001572FD"/>
    <w:rsid w:val="00842C9A"/>
    <w:rsid w:val="00AC197E"/>
    <w:rsid w:val="00AE0206"/>
    <w:rsid w:val="00C060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FA1CD"/>
  <w15:chartTrackingRefBased/>
  <w15:docId w15:val="{DADE5FEF-6D04-4826-A6CC-2F5CECDD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078"/>
    <w:rPr>
      <w:lang w:val="en-US"/>
    </w:rPr>
  </w:style>
  <w:style w:type="paragraph" w:styleId="1">
    <w:name w:val="heading 1"/>
    <w:basedOn w:val="a"/>
    <w:next w:val="a"/>
    <w:link w:val="1Char"/>
    <w:uiPriority w:val="9"/>
    <w:qFormat/>
    <w:rsid w:val="00AC19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AC19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AC197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AC197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AC197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AC197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C197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C197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C197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C197E"/>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AC197E"/>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AC197E"/>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AC197E"/>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AC197E"/>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AC197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C197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C197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C197E"/>
    <w:rPr>
      <w:rFonts w:eastAsiaTheme="majorEastAsia" w:cstheme="majorBidi"/>
      <w:color w:val="272727" w:themeColor="text1" w:themeTint="D8"/>
    </w:rPr>
  </w:style>
  <w:style w:type="paragraph" w:styleId="a3">
    <w:name w:val="Title"/>
    <w:basedOn w:val="a"/>
    <w:next w:val="a"/>
    <w:link w:val="Char"/>
    <w:uiPriority w:val="10"/>
    <w:qFormat/>
    <w:rsid w:val="00AC19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C197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C197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C197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C197E"/>
    <w:pPr>
      <w:spacing w:before="160"/>
      <w:jc w:val="center"/>
    </w:pPr>
    <w:rPr>
      <w:i/>
      <w:iCs/>
      <w:color w:val="404040" w:themeColor="text1" w:themeTint="BF"/>
    </w:rPr>
  </w:style>
  <w:style w:type="character" w:customStyle="1" w:styleId="Char1">
    <w:name w:val="Απόσπασμα Char"/>
    <w:basedOn w:val="a0"/>
    <w:link w:val="a5"/>
    <w:uiPriority w:val="29"/>
    <w:rsid w:val="00AC197E"/>
    <w:rPr>
      <w:i/>
      <w:iCs/>
      <w:color w:val="404040" w:themeColor="text1" w:themeTint="BF"/>
    </w:rPr>
  </w:style>
  <w:style w:type="paragraph" w:styleId="a6">
    <w:name w:val="List Paragraph"/>
    <w:aliases w:val="Fiche List Paragraph,Dot pt,No Spacing1,List Paragraph Char Char Char,Indicator Text,Numbered Para 1,Bullet 1,F5 List Paragraph,Bullet Points,List Paragraph11,MAIN CONTENT,List Paragraph12,Bullet2,Bullet21,Bullet22,bl11,Yellow Bullet"/>
    <w:basedOn w:val="a"/>
    <w:link w:val="Char2"/>
    <w:uiPriority w:val="34"/>
    <w:qFormat/>
    <w:rsid w:val="00AC197E"/>
    <w:pPr>
      <w:ind w:left="720"/>
      <w:contextualSpacing/>
    </w:pPr>
  </w:style>
  <w:style w:type="character" w:styleId="a7">
    <w:name w:val="Intense Emphasis"/>
    <w:basedOn w:val="a0"/>
    <w:uiPriority w:val="21"/>
    <w:qFormat/>
    <w:rsid w:val="00AC197E"/>
    <w:rPr>
      <w:i/>
      <w:iCs/>
      <w:color w:val="2F5496" w:themeColor="accent1" w:themeShade="BF"/>
    </w:rPr>
  </w:style>
  <w:style w:type="paragraph" w:styleId="a8">
    <w:name w:val="Intense Quote"/>
    <w:basedOn w:val="a"/>
    <w:next w:val="a"/>
    <w:link w:val="Char3"/>
    <w:uiPriority w:val="30"/>
    <w:qFormat/>
    <w:rsid w:val="00AC19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Έντονο απόσπ. Char"/>
    <w:basedOn w:val="a0"/>
    <w:link w:val="a8"/>
    <w:uiPriority w:val="30"/>
    <w:rsid w:val="00AC197E"/>
    <w:rPr>
      <w:i/>
      <w:iCs/>
      <w:color w:val="2F5496" w:themeColor="accent1" w:themeShade="BF"/>
    </w:rPr>
  </w:style>
  <w:style w:type="character" w:styleId="a9">
    <w:name w:val="Intense Reference"/>
    <w:basedOn w:val="a0"/>
    <w:uiPriority w:val="32"/>
    <w:qFormat/>
    <w:rsid w:val="00AC197E"/>
    <w:rPr>
      <w:b/>
      <w:bCs/>
      <w:smallCaps/>
      <w:color w:val="2F5496" w:themeColor="accent1" w:themeShade="BF"/>
      <w:spacing w:val="5"/>
    </w:rPr>
  </w:style>
  <w:style w:type="character" w:customStyle="1" w:styleId="Char2">
    <w:name w:val="Παράγραφος λίστας Char"/>
    <w:aliases w:val="Fiche List Paragraph Char,Dot pt Char,No Spacing1 Char,List Paragraph Char Char Char Char,Indicator Text Char,Numbered Para 1 Char,Bullet 1 Char,F5 List Paragraph Char,Bullet Points Char,List Paragraph11 Char,MAIN CONTENT Char"/>
    <w:link w:val="a6"/>
    <w:uiPriority w:val="34"/>
    <w:qFormat/>
    <w:locked/>
    <w:rsid w:val="00AC1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1396</Words>
  <Characters>7541</Characters>
  <Application>Microsoft Office Word</Application>
  <DocSecurity>0</DocSecurity>
  <Lines>62</Lines>
  <Paragraphs>17</Paragraphs>
  <ScaleCrop>false</ScaleCrop>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Marmara</dc:creator>
  <cp:keywords/>
  <dc:description/>
  <cp:lastModifiedBy>Mariana Marmara</cp:lastModifiedBy>
  <cp:revision>2</cp:revision>
  <dcterms:created xsi:type="dcterms:W3CDTF">2025-09-08T09:07:00Z</dcterms:created>
  <dcterms:modified xsi:type="dcterms:W3CDTF">2025-09-08T09:07:00Z</dcterms:modified>
</cp:coreProperties>
</file>