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FA7" w:rsidRDefault="00393FA7" w:rsidP="00393FA7">
      <w:pPr>
        <w:spacing w:after="0"/>
        <w:contextualSpacing/>
        <w:jc w:val="center"/>
        <w:rPr>
          <w:rFonts w:ascii="Segoe UI" w:hAnsi="Segoe UI" w:cs="Segoe UI"/>
          <w:b/>
          <w:bCs/>
          <w:sz w:val="20"/>
          <w:szCs w:val="20"/>
        </w:rPr>
      </w:pPr>
    </w:p>
    <w:p w:rsidR="00393FA7" w:rsidRDefault="00393FA7" w:rsidP="00393FA7">
      <w:pPr>
        <w:spacing w:after="0"/>
        <w:contextualSpacing/>
        <w:jc w:val="center"/>
        <w:rPr>
          <w:rFonts w:ascii="Segoe UI" w:hAnsi="Segoe UI" w:cs="Segoe UI"/>
          <w:b/>
          <w:bCs/>
          <w:sz w:val="20"/>
          <w:szCs w:val="20"/>
          <w:lang w:val="en-US"/>
        </w:rPr>
      </w:pPr>
      <w:r>
        <w:rPr>
          <w:rFonts w:ascii="Segoe UI" w:hAnsi="Segoe UI" w:cs="Segoe UI"/>
          <w:b/>
          <w:bCs/>
          <w:sz w:val="20"/>
          <w:szCs w:val="20"/>
          <w:lang w:val="en-US"/>
        </w:rPr>
        <w:t xml:space="preserve">                                                                      </w:t>
      </w:r>
    </w:p>
    <w:p w:rsidR="00393FA7" w:rsidRDefault="00393FA7" w:rsidP="00393FA7">
      <w:pPr>
        <w:spacing w:after="0"/>
        <w:contextualSpacing/>
        <w:jc w:val="center"/>
        <w:rPr>
          <w:rFonts w:ascii="Segoe UI" w:hAnsi="Segoe UI" w:cs="Segoe UI"/>
          <w:b/>
          <w:bCs/>
          <w:sz w:val="20"/>
          <w:szCs w:val="20"/>
          <w:lang w:val="en-US"/>
        </w:rPr>
      </w:pPr>
    </w:p>
    <w:p w:rsidR="00393FA7" w:rsidRDefault="00393FA7" w:rsidP="00393FA7">
      <w:pPr>
        <w:spacing w:after="0"/>
        <w:contextualSpacing/>
        <w:jc w:val="center"/>
        <w:rPr>
          <w:rFonts w:ascii="Segoe UI" w:hAnsi="Segoe UI" w:cs="Segoe UI"/>
          <w:b/>
          <w:bCs/>
          <w:sz w:val="20"/>
          <w:szCs w:val="20"/>
          <w:lang w:val="en-US"/>
        </w:rPr>
      </w:pPr>
    </w:p>
    <w:p w:rsidR="00393FA7" w:rsidRDefault="00393FA7" w:rsidP="00393FA7">
      <w:pPr>
        <w:spacing w:after="0"/>
        <w:contextualSpacing/>
        <w:jc w:val="center"/>
        <w:rPr>
          <w:rFonts w:ascii="Segoe UI" w:hAnsi="Segoe UI" w:cs="Segoe UI"/>
          <w:b/>
          <w:bCs/>
          <w:sz w:val="20"/>
          <w:szCs w:val="20"/>
          <w:lang w:val="en-US"/>
        </w:rPr>
      </w:pPr>
    </w:p>
    <w:p w:rsidR="00393FA7" w:rsidRDefault="00393FA7" w:rsidP="00393FA7">
      <w:pPr>
        <w:spacing w:after="0"/>
        <w:contextualSpacing/>
        <w:jc w:val="center"/>
        <w:rPr>
          <w:rFonts w:ascii="Segoe UI" w:hAnsi="Segoe UI" w:cs="Segoe UI"/>
          <w:b/>
          <w:bCs/>
          <w:sz w:val="20"/>
          <w:szCs w:val="20"/>
          <w:lang w:val="en-US"/>
        </w:rPr>
      </w:pPr>
    </w:p>
    <w:p w:rsidR="00393FA7" w:rsidRPr="00393FA7" w:rsidRDefault="00393FA7" w:rsidP="00393FA7">
      <w:pPr>
        <w:spacing w:after="0"/>
        <w:contextualSpacing/>
        <w:jc w:val="right"/>
        <w:rPr>
          <w:rFonts w:ascii="Segoe UI" w:hAnsi="Segoe UI" w:cs="Segoe UI"/>
          <w:b/>
          <w:bCs/>
          <w:sz w:val="20"/>
          <w:szCs w:val="20"/>
          <w:lang w:val="en-US"/>
        </w:rPr>
      </w:pPr>
      <w:r>
        <w:rPr>
          <w:rFonts w:ascii="Segoe UI" w:hAnsi="Segoe UI" w:cs="Segoe UI"/>
          <w:b/>
          <w:bCs/>
          <w:sz w:val="20"/>
          <w:szCs w:val="20"/>
          <w:lang w:val="en-US"/>
        </w:rPr>
        <w:t>25/02/2026</w:t>
      </w:r>
    </w:p>
    <w:p w:rsidR="00393FA7" w:rsidRDefault="00393FA7" w:rsidP="00393FA7">
      <w:pPr>
        <w:spacing w:after="0"/>
        <w:contextualSpacing/>
        <w:jc w:val="center"/>
        <w:rPr>
          <w:rFonts w:ascii="Segoe UI" w:hAnsi="Segoe UI" w:cs="Segoe UI"/>
          <w:b/>
          <w:bCs/>
          <w:sz w:val="20"/>
          <w:szCs w:val="20"/>
        </w:rPr>
      </w:pPr>
    </w:p>
    <w:p w:rsidR="00393FA7" w:rsidRDefault="00393FA7" w:rsidP="00393FA7">
      <w:pPr>
        <w:spacing w:after="0"/>
        <w:contextualSpacing/>
        <w:jc w:val="center"/>
        <w:rPr>
          <w:rFonts w:ascii="Segoe UI" w:hAnsi="Segoe UI" w:cs="Segoe UI"/>
          <w:b/>
          <w:bCs/>
          <w:sz w:val="20"/>
          <w:szCs w:val="20"/>
        </w:rPr>
      </w:pPr>
    </w:p>
    <w:p w:rsidR="00393FA7" w:rsidRDefault="00393FA7" w:rsidP="00393FA7">
      <w:pPr>
        <w:spacing w:after="0"/>
        <w:contextualSpacing/>
        <w:jc w:val="center"/>
        <w:rPr>
          <w:rFonts w:ascii="Segoe UI" w:hAnsi="Segoe UI" w:cs="Segoe UI"/>
          <w:b/>
          <w:bCs/>
          <w:sz w:val="20"/>
          <w:szCs w:val="20"/>
        </w:rPr>
      </w:pPr>
    </w:p>
    <w:p w:rsidR="00393FA7" w:rsidRPr="00A52FFF" w:rsidRDefault="00393FA7" w:rsidP="00393FA7">
      <w:pPr>
        <w:spacing w:after="0"/>
        <w:contextualSpacing/>
        <w:jc w:val="center"/>
        <w:rPr>
          <w:rFonts w:ascii="Segoe UI" w:hAnsi="Segoe UI" w:cs="Segoe UI"/>
          <w:b/>
          <w:bCs/>
          <w:sz w:val="20"/>
          <w:szCs w:val="20"/>
        </w:rPr>
      </w:pPr>
      <w:r w:rsidRPr="00A52FFF">
        <w:rPr>
          <w:rFonts w:ascii="Segoe UI" w:hAnsi="Segoe UI" w:cs="Segoe UI"/>
          <w:b/>
          <w:bCs/>
          <w:sz w:val="20"/>
          <w:szCs w:val="20"/>
        </w:rPr>
        <w:t>Εκτέλεση Κρατικού Προϋπολογισμού περιόδου Ιανουαρίου 2026</w:t>
      </w:r>
    </w:p>
    <w:p w:rsidR="00393FA7" w:rsidRPr="00A52FFF" w:rsidRDefault="00393FA7" w:rsidP="00393FA7">
      <w:pPr>
        <w:spacing w:after="0"/>
        <w:contextualSpacing/>
        <w:jc w:val="center"/>
        <w:rPr>
          <w:rFonts w:ascii="Segoe UI" w:hAnsi="Segoe UI" w:cs="Segoe UI"/>
          <w:b/>
          <w:bCs/>
          <w:sz w:val="20"/>
          <w:szCs w:val="20"/>
        </w:rPr>
      </w:pPr>
    </w:p>
    <w:p w:rsidR="00393FA7" w:rsidRPr="00A52FFF" w:rsidRDefault="00393FA7" w:rsidP="00393FA7">
      <w:pPr>
        <w:tabs>
          <w:tab w:val="left" w:pos="2535"/>
        </w:tabs>
        <w:spacing w:after="0"/>
        <w:contextualSpacing/>
        <w:rPr>
          <w:rFonts w:ascii="Segoe UI" w:hAnsi="Segoe UI" w:cs="Segoe UI"/>
          <w:sz w:val="20"/>
          <w:szCs w:val="20"/>
        </w:rPr>
      </w:pPr>
      <w:r w:rsidRPr="00A52FFF">
        <w:rPr>
          <w:rFonts w:ascii="Segoe UI" w:hAnsi="Segoe UI" w:cs="Segoe UI"/>
          <w:sz w:val="20"/>
          <w:szCs w:val="20"/>
        </w:rPr>
        <w:t xml:space="preserve">Σύμφωνα με τα στοιχεία εκτέλεσης του κρατικού προϋπολογισμού, σε τροποποιημένη ταμειακή βάση, για την περίοδο του Ιανουαρίου 2026, παρουσιάζεται πλεόνασμα στο ισοζύγιο του κρατικού προϋπολογισμού ύψους </w:t>
      </w:r>
      <w:r w:rsidRPr="00A52FFF">
        <w:rPr>
          <w:rFonts w:ascii="Segoe UI" w:hAnsi="Segoe UI" w:cs="Segoe UI"/>
          <w:color w:val="000000" w:themeColor="text1"/>
          <w:sz w:val="20"/>
          <w:szCs w:val="20"/>
        </w:rPr>
        <w:t xml:space="preserve">2.288 </w:t>
      </w:r>
      <w:r w:rsidRPr="00A52FFF">
        <w:rPr>
          <w:rFonts w:ascii="Segoe UI" w:hAnsi="Segoe UI" w:cs="Segoe UI"/>
          <w:sz w:val="20"/>
          <w:szCs w:val="20"/>
        </w:rPr>
        <w:t xml:space="preserve">εκατ. ευρώ έναντι του στόχου για πλεόνασμα </w:t>
      </w:r>
      <w:r w:rsidRPr="00A52FFF">
        <w:rPr>
          <w:rFonts w:ascii="Segoe UI" w:hAnsi="Segoe UI" w:cs="Segoe UI"/>
          <w:color w:val="000000" w:themeColor="text1"/>
          <w:sz w:val="20"/>
          <w:szCs w:val="20"/>
        </w:rPr>
        <w:t>543</w:t>
      </w:r>
      <w:r w:rsidRPr="00A52FFF">
        <w:rPr>
          <w:rFonts w:ascii="Segoe UI" w:hAnsi="Segoe UI" w:cs="Segoe UI"/>
          <w:sz w:val="20"/>
          <w:szCs w:val="20"/>
        </w:rPr>
        <w:t xml:space="preserve"> εκατ. ευρώ που έχει περιληφθεί για το αντίστοιχο διάστημα του 2026 στην εισηγητική έκθεση του Προϋπολογισμού 2026 και πλεονάσματος </w:t>
      </w:r>
      <w:r w:rsidRPr="00A52FFF">
        <w:rPr>
          <w:rFonts w:ascii="Segoe UI" w:hAnsi="Segoe UI" w:cs="Segoe UI"/>
          <w:color w:val="000000" w:themeColor="text1"/>
          <w:sz w:val="20"/>
          <w:szCs w:val="20"/>
        </w:rPr>
        <w:t>758</w:t>
      </w:r>
      <w:r w:rsidRPr="00A52FFF">
        <w:rPr>
          <w:rFonts w:ascii="Segoe UI" w:hAnsi="Segoe UI" w:cs="Segoe UI"/>
          <w:color w:val="FF0000"/>
          <w:sz w:val="20"/>
          <w:szCs w:val="20"/>
        </w:rPr>
        <w:t xml:space="preserve"> </w:t>
      </w:r>
      <w:r w:rsidRPr="00A52FFF">
        <w:rPr>
          <w:rFonts w:ascii="Segoe UI" w:hAnsi="Segoe UI" w:cs="Segoe UI"/>
          <w:sz w:val="20"/>
          <w:szCs w:val="20"/>
        </w:rPr>
        <w:t xml:space="preserve">εκατ. ευρώ το αντίστοιχο διάστημα του 2025. Το πρωτογενές αποτέλεσμα σε τροποποιημένη ταμειακή βάση διαμορφώθηκε σε πλεόνασμα </w:t>
      </w:r>
      <w:r w:rsidRPr="00A52FFF">
        <w:rPr>
          <w:rFonts w:ascii="Segoe UI" w:hAnsi="Segoe UI" w:cs="Segoe UI"/>
          <w:color w:val="000000" w:themeColor="text1"/>
          <w:sz w:val="20"/>
          <w:szCs w:val="20"/>
        </w:rPr>
        <w:t>ύψους 3.511</w:t>
      </w:r>
      <w:r w:rsidRPr="00A52FFF">
        <w:rPr>
          <w:rFonts w:ascii="Segoe UI" w:hAnsi="Segoe UI" w:cs="Segoe UI"/>
          <w:sz w:val="20"/>
          <w:szCs w:val="20"/>
        </w:rPr>
        <w:t xml:space="preserve"> εκατ. ευρώ, έναντι στόχου για πρωτογενές πλεόνασ</w:t>
      </w:r>
      <w:r w:rsidRPr="00A52FFF">
        <w:rPr>
          <w:rFonts w:ascii="Segoe UI" w:hAnsi="Segoe UI" w:cs="Segoe UI"/>
          <w:color w:val="000000" w:themeColor="text1"/>
          <w:sz w:val="20"/>
          <w:szCs w:val="20"/>
        </w:rPr>
        <w:t xml:space="preserve">μα 1.751 </w:t>
      </w:r>
      <w:r w:rsidRPr="00A52FFF">
        <w:rPr>
          <w:rFonts w:ascii="Segoe UI" w:hAnsi="Segoe UI" w:cs="Segoe UI"/>
          <w:sz w:val="20"/>
          <w:szCs w:val="20"/>
        </w:rPr>
        <w:t xml:space="preserve">εκατ. ευρώ και πρωτογενούς πλεονάσματος 1.980 εκατ. ευρώ για την ίδια περίοδο το 2025. </w:t>
      </w:r>
    </w:p>
    <w:p w:rsidR="00393FA7" w:rsidRPr="00A52FFF" w:rsidRDefault="00393FA7" w:rsidP="00393FA7">
      <w:pPr>
        <w:tabs>
          <w:tab w:val="left" w:pos="2535"/>
        </w:tabs>
        <w:spacing w:after="0"/>
        <w:contextualSpacing/>
        <w:rPr>
          <w:rFonts w:ascii="Segoe UI" w:hAnsi="Segoe UI" w:cs="Segoe UI"/>
          <w:sz w:val="20"/>
          <w:szCs w:val="20"/>
        </w:rPr>
      </w:pPr>
    </w:p>
    <w:p w:rsidR="00393FA7" w:rsidRPr="00A52FFF" w:rsidRDefault="00393FA7" w:rsidP="00393FA7">
      <w:pPr>
        <w:tabs>
          <w:tab w:val="left" w:pos="2535"/>
        </w:tabs>
        <w:spacing w:after="0"/>
        <w:contextualSpacing/>
        <w:rPr>
          <w:rFonts w:ascii="Segoe UI" w:hAnsi="Segoe UI" w:cs="Segoe UI"/>
          <w:sz w:val="20"/>
          <w:szCs w:val="20"/>
        </w:rPr>
      </w:pPr>
      <w:r w:rsidRPr="00A52FFF">
        <w:rPr>
          <w:rFonts w:ascii="Segoe UI" w:hAnsi="Segoe UI" w:cs="Segoe UI"/>
          <w:sz w:val="20"/>
          <w:szCs w:val="20"/>
        </w:rPr>
        <w:t>Εξαιρώντας ποσό ύψους 1.272 εκατ. ευρώ που αφορά σε ετεροχρονισμό  μεταβιβαστικών πληρωμών σε φορείς γενικής κυβέρνησης,</w:t>
      </w:r>
      <w:r w:rsidRPr="00A52FFF">
        <w:t xml:space="preserve"> </w:t>
      </w:r>
      <w:r w:rsidRPr="00A52FFF">
        <w:rPr>
          <w:rFonts w:ascii="Segoe UI" w:hAnsi="Segoe UI" w:cs="Segoe UI"/>
          <w:sz w:val="20"/>
          <w:szCs w:val="20"/>
        </w:rPr>
        <w:t xml:space="preserve">καθώς και ποσό </w:t>
      </w:r>
      <w:r w:rsidRPr="00A52FFF">
        <w:rPr>
          <w:rFonts w:ascii="Segoe UI" w:hAnsi="Segoe UI" w:cs="Segoe UI"/>
          <w:color w:val="000000" w:themeColor="text1"/>
          <w:sz w:val="20"/>
          <w:szCs w:val="20"/>
        </w:rPr>
        <w:t xml:space="preserve">ύψους 379 </w:t>
      </w:r>
      <w:r w:rsidRPr="00A52FFF">
        <w:rPr>
          <w:rFonts w:ascii="Segoe UI" w:hAnsi="Segoe UI" w:cs="Segoe UI"/>
          <w:sz w:val="20"/>
          <w:szCs w:val="20"/>
        </w:rPr>
        <w:t>εκατ. ευρώ που αφορά ετεροχρονισμό πληρωμών στο σκέλος των επενδυτικών δαπανών, που δεν επηρεάζουν το αποτέλεσμα της Γενικής Κυβέρνησης σε δημοσιονομικούς όρους, η υπέρβαση στο πρωτογενές αποτέλεσμα σε τροποποιημέν</w:t>
      </w:r>
      <w:r w:rsidRPr="00A52FFF">
        <w:rPr>
          <w:rFonts w:ascii="Segoe UI" w:hAnsi="Segoe UI" w:cs="Segoe UI"/>
          <w:color w:val="000000" w:themeColor="text1"/>
          <w:sz w:val="20"/>
          <w:szCs w:val="20"/>
        </w:rPr>
        <w:t xml:space="preserve">η ταμειακή βάση έναντι των στόχων του προϋπολογισμού, εκτιμάται σε 109 </w:t>
      </w:r>
      <w:r w:rsidRPr="00A52FFF">
        <w:rPr>
          <w:rFonts w:ascii="Segoe UI" w:hAnsi="Segoe UI" w:cs="Segoe UI"/>
          <w:sz w:val="20"/>
          <w:szCs w:val="20"/>
        </w:rPr>
        <w:t>εκατ. ευρώ. Σημειώνεται ότι το ύψος των καθαρών εσόδων του κρατικού προϋπολογισμού ήταν πλησίον των στόχων, παρουσιάζοντας αύξηση κατά 35 εκατ. ευρώ.</w:t>
      </w:r>
    </w:p>
    <w:p w:rsidR="00393FA7" w:rsidRPr="00A52FFF" w:rsidRDefault="00393FA7" w:rsidP="00393FA7">
      <w:pPr>
        <w:tabs>
          <w:tab w:val="left" w:pos="2535"/>
        </w:tabs>
        <w:spacing w:after="0"/>
        <w:contextualSpacing/>
        <w:rPr>
          <w:rFonts w:ascii="Segoe UI" w:hAnsi="Segoe UI" w:cs="Segoe UI"/>
          <w:sz w:val="20"/>
          <w:szCs w:val="20"/>
        </w:rPr>
      </w:pPr>
    </w:p>
    <w:p w:rsidR="00393FA7" w:rsidRPr="00A52FFF" w:rsidRDefault="00393FA7" w:rsidP="00393FA7">
      <w:pPr>
        <w:spacing w:after="0"/>
        <w:contextualSpacing/>
        <w:rPr>
          <w:rFonts w:ascii="Segoe UI" w:hAnsi="Segoe UI" w:cs="Segoe UI"/>
          <w:sz w:val="20"/>
          <w:szCs w:val="20"/>
        </w:rPr>
      </w:pPr>
      <w:r w:rsidRPr="00A52FFF">
        <w:rPr>
          <w:rFonts w:ascii="Segoe UI" w:hAnsi="Segoe UI" w:cs="Segoe UI"/>
          <w:sz w:val="20"/>
          <w:szCs w:val="20"/>
        </w:rPr>
        <w:t xml:space="preserve">Επισημαίνεται ότι το πρωτογενές αποτέλεσμα σε δημοσιονομικούς όρους διαφέρει από το αποτέλεσμα σε ταμειακούς όρους. Επιπρόσθετα, τα ανωτέρω αφορούν στο πρωτογενές αποτέλεσμα της Κεντρικής Διοίκησης και όχι στο σύνολο της Γενικής Κυβέρνησης, που περιλαμβάνει και τα δημοσιονομικά αποτελέσματα των Νομικών Προσώπων και των </w:t>
      </w:r>
      <w:proofErr w:type="spellStart"/>
      <w:r w:rsidRPr="00A52FFF">
        <w:rPr>
          <w:rFonts w:ascii="Segoe UI" w:hAnsi="Segoe UI" w:cs="Segoe UI"/>
          <w:sz w:val="20"/>
          <w:szCs w:val="20"/>
        </w:rPr>
        <w:t>υποτομέων</w:t>
      </w:r>
      <w:proofErr w:type="spellEnd"/>
      <w:r w:rsidRPr="00A52FFF">
        <w:rPr>
          <w:rFonts w:ascii="Segoe UI" w:hAnsi="Segoe UI" w:cs="Segoe UI"/>
          <w:sz w:val="20"/>
          <w:szCs w:val="20"/>
        </w:rPr>
        <w:t xml:space="preserve"> των ΟΤΑ και ΟΚΑ.</w:t>
      </w:r>
    </w:p>
    <w:p w:rsidR="00393FA7" w:rsidRPr="00A52FFF" w:rsidRDefault="00393FA7" w:rsidP="00393FA7">
      <w:pPr>
        <w:spacing w:after="0"/>
        <w:contextualSpacing/>
      </w:pPr>
    </w:p>
    <w:p w:rsidR="00393FA7" w:rsidRPr="00A52FFF" w:rsidRDefault="00393FA7" w:rsidP="00393FA7">
      <w:pPr>
        <w:spacing w:after="0"/>
        <w:rPr>
          <w:rFonts w:ascii="Segoe UI" w:hAnsi="Segoe UI" w:cs="Segoe UI"/>
          <w:sz w:val="20"/>
          <w:szCs w:val="20"/>
        </w:rPr>
      </w:pPr>
      <w:r w:rsidRPr="00A52FFF">
        <w:rPr>
          <w:rFonts w:ascii="Segoe UI" w:hAnsi="Segoe UI" w:cs="Segoe UI"/>
          <w:b/>
          <w:bCs/>
          <w:sz w:val="20"/>
          <w:szCs w:val="20"/>
        </w:rPr>
        <w:t xml:space="preserve">Σημείωση: </w:t>
      </w:r>
      <w:r w:rsidRPr="00A52FFF">
        <w:rPr>
          <w:rFonts w:ascii="Segoe UI" w:hAnsi="Segoe UI" w:cs="Segoe UI"/>
          <w:bCs/>
          <w:sz w:val="20"/>
          <w:szCs w:val="20"/>
        </w:rPr>
        <w:t xml:space="preserve">στα έσοδα μηνός Ιανουαρίου καταγράφηκαν τα ποσά από τις απαιτούμενες συναλλαγές για την ολοκλήρωση της Σύμβασης Παραχώρησης Υπηρεσιών για τη χρηματοδότηση, λειτουργία, συντήρηση και εκμετάλλευση του αυτοκινητοδρόμου της Εγνατίας Οδού και των τριών (3) κάθετων οδικών αξόνων της για 35 χρόνια, </w:t>
      </w:r>
      <w:r w:rsidRPr="00A52FFF">
        <w:rPr>
          <w:rFonts w:ascii="Segoe UI" w:hAnsi="Segoe UI" w:cs="Segoe UI"/>
          <w:sz w:val="20"/>
          <w:szCs w:val="20"/>
        </w:rPr>
        <w:t>η οποία κυρώθηκε με τον ν. 5260/2025 (Α’ 229).</w:t>
      </w:r>
    </w:p>
    <w:p w:rsidR="00393FA7" w:rsidRPr="00A52FFF" w:rsidRDefault="00393FA7" w:rsidP="00393FA7">
      <w:pPr>
        <w:spacing w:after="0"/>
        <w:rPr>
          <w:rFonts w:ascii="Segoe UI" w:eastAsia="Times New Roman" w:hAnsi="Segoe UI" w:cs="Segoe UI"/>
          <w:sz w:val="20"/>
          <w:szCs w:val="20"/>
          <w:lang w:eastAsia="el-GR"/>
        </w:rPr>
      </w:pPr>
    </w:p>
    <w:p w:rsidR="00393FA7" w:rsidRPr="00A52FFF" w:rsidRDefault="00393FA7" w:rsidP="00393FA7">
      <w:pPr>
        <w:spacing w:after="0"/>
        <w:rPr>
          <w:rFonts w:ascii="Segoe UI" w:eastAsia="Times New Roman" w:hAnsi="Segoe UI" w:cs="Segoe UI"/>
          <w:sz w:val="20"/>
          <w:szCs w:val="20"/>
          <w:lang w:eastAsia="el-GR"/>
        </w:rPr>
      </w:pPr>
      <w:r w:rsidRPr="00A52FFF">
        <w:rPr>
          <w:rFonts w:ascii="Segoe UI" w:eastAsia="Times New Roman" w:hAnsi="Segoe UI" w:cs="Segoe UI"/>
          <w:sz w:val="20"/>
          <w:szCs w:val="20"/>
          <w:lang w:eastAsia="el-GR"/>
        </w:rPr>
        <w:t xml:space="preserve">Ειδικότερα:  </w:t>
      </w:r>
    </w:p>
    <w:p w:rsidR="00393FA7" w:rsidRPr="00A52FFF" w:rsidRDefault="00393FA7" w:rsidP="00393FA7">
      <w:pPr>
        <w:pStyle w:val="a5"/>
        <w:numPr>
          <w:ilvl w:val="0"/>
          <w:numId w:val="11"/>
        </w:numPr>
        <w:spacing w:line="276" w:lineRule="auto"/>
        <w:contextualSpacing/>
        <w:rPr>
          <w:rFonts w:ascii="Segoe UI" w:hAnsi="Segoe UI" w:cs="Segoe UI"/>
          <w:bCs/>
          <w:sz w:val="20"/>
        </w:rPr>
      </w:pPr>
      <w:r w:rsidRPr="00A52FFF">
        <w:rPr>
          <w:rFonts w:ascii="Segoe UI" w:hAnsi="Segoe UI" w:cs="Segoe UI"/>
          <w:bCs/>
          <w:sz w:val="20"/>
        </w:rPr>
        <w:lastRenderedPageBreak/>
        <w:t xml:space="preserve">ποσό 306 εκατ. ευρώ που αφορά στο ΦΠΑ 24% επί του τιμήματος της συναλλαγής, αποδόθηκε από τον </w:t>
      </w:r>
      <w:proofErr w:type="spellStart"/>
      <w:r w:rsidRPr="00A52FFF">
        <w:rPr>
          <w:rFonts w:ascii="Segoe UI" w:hAnsi="Segoe UI" w:cs="Segoe UI"/>
          <w:bCs/>
          <w:sz w:val="20"/>
        </w:rPr>
        <w:t>παραχωρησιούχο</w:t>
      </w:r>
      <w:proofErr w:type="spellEnd"/>
      <w:r w:rsidRPr="00A52FFF">
        <w:rPr>
          <w:rFonts w:ascii="Segoe UI" w:hAnsi="Segoe UI" w:cs="Segoe UI"/>
          <w:bCs/>
          <w:sz w:val="20"/>
        </w:rPr>
        <w:t xml:space="preserve"> στο Ελληνικό Δημόσιο, καταγράφηκε στην κατηγορία «Φόροι» και συνοδεύτηκε με ισόποση επιστροφή φόρου.   </w:t>
      </w:r>
    </w:p>
    <w:p w:rsidR="00393FA7" w:rsidRPr="00A52FFF" w:rsidRDefault="00393FA7" w:rsidP="00393FA7">
      <w:pPr>
        <w:pStyle w:val="a5"/>
        <w:numPr>
          <w:ilvl w:val="0"/>
          <w:numId w:val="11"/>
        </w:numPr>
        <w:spacing w:line="276" w:lineRule="auto"/>
        <w:contextualSpacing/>
        <w:rPr>
          <w:rFonts w:ascii="Segoe UI" w:hAnsi="Segoe UI" w:cs="Segoe UI"/>
          <w:bCs/>
          <w:sz w:val="20"/>
        </w:rPr>
      </w:pPr>
      <w:r w:rsidRPr="00A52FFF">
        <w:rPr>
          <w:rFonts w:ascii="Segoe UI" w:hAnsi="Segoe UI" w:cs="Segoe UI"/>
          <w:bCs/>
          <w:sz w:val="20"/>
        </w:rPr>
        <w:t xml:space="preserve">Ακολούθως, το ίδιο ποσό των 306 εκατ. ευρώ, αποδόθηκε εκ νέου στο Ελληνικό Δημόσιο και καταγράφηκε στην κατηγορία «Πωλήσεις αγαθών και υπηρεσιών». </w:t>
      </w:r>
    </w:p>
    <w:p w:rsidR="00393FA7" w:rsidRPr="00A52FFF" w:rsidRDefault="00393FA7" w:rsidP="00393FA7">
      <w:pPr>
        <w:pStyle w:val="a5"/>
        <w:rPr>
          <w:rFonts w:ascii="Segoe UI" w:hAnsi="Segoe UI" w:cs="Segoe UI"/>
          <w:bCs/>
          <w:sz w:val="20"/>
        </w:rPr>
      </w:pPr>
    </w:p>
    <w:p w:rsidR="00393FA7" w:rsidRPr="00A52FFF" w:rsidRDefault="00393FA7" w:rsidP="00393FA7">
      <w:pPr>
        <w:spacing w:after="0"/>
        <w:rPr>
          <w:rFonts w:ascii="Segoe UI" w:hAnsi="Segoe UI" w:cs="Segoe UI"/>
          <w:bCs/>
          <w:sz w:val="20"/>
          <w:szCs w:val="20"/>
        </w:rPr>
      </w:pPr>
      <w:r w:rsidRPr="00A52FFF">
        <w:rPr>
          <w:rFonts w:ascii="Segoe UI" w:hAnsi="Segoe UI" w:cs="Segoe UI"/>
          <w:b/>
          <w:bCs/>
          <w:sz w:val="20"/>
          <w:szCs w:val="20"/>
        </w:rPr>
        <w:t>Τον Ιανουάριο 2026</w:t>
      </w:r>
      <w:r w:rsidRPr="00A52FFF">
        <w:rPr>
          <w:rFonts w:ascii="Segoe UI" w:hAnsi="Segoe UI" w:cs="Segoe UI"/>
          <w:bCs/>
          <w:sz w:val="20"/>
          <w:szCs w:val="20"/>
        </w:rPr>
        <w:t xml:space="preserve">, το ύψος των καθαρών εσόδων του κρατικού προϋπολογισμού ανήλθε σε 6.138 εκατ. ευρώ, παρουσιάζοντας αύξηση κατά 35 εκατ. ευρώ ή 0,6% έναντι του στόχου που έχει περιληφθεί για το αντίστοιχο διάστημα στην εισηγητική έκθεση του Προϋπολογισμού 2026. </w:t>
      </w:r>
    </w:p>
    <w:p w:rsidR="00393FA7" w:rsidRPr="00A52FFF" w:rsidRDefault="00393FA7" w:rsidP="00393FA7">
      <w:pPr>
        <w:spacing w:after="0"/>
        <w:rPr>
          <w:rFonts w:ascii="Segoe UI" w:hAnsi="Segoe UI" w:cs="Segoe UI"/>
          <w:bCs/>
          <w:sz w:val="20"/>
          <w:szCs w:val="20"/>
        </w:rPr>
      </w:pPr>
    </w:p>
    <w:p w:rsidR="00393FA7" w:rsidRPr="00A52FFF" w:rsidRDefault="00393FA7" w:rsidP="00393FA7">
      <w:pPr>
        <w:widowControl w:val="0"/>
        <w:spacing w:after="0"/>
        <w:rPr>
          <w:rFonts w:ascii="Segoe UI" w:hAnsi="Segoe UI" w:cs="Segoe UI"/>
          <w:bCs/>
          <w:sz w:val="20"/>
          <w:szCs w:val="20"/>
        </w:rPr>
      </w:pPr>
      <w:r w:rsidRPr="00A52FFF">
        <w:rPr>
          <w:rFonts w:ascii="Segoe UI" w:hAnsi="Segoe UI" w:cs="Segoe UI"/>
          <w:bCs/>
          <w:sz w:val="20"/>
          <w:szCs w:val="20"/>
        </w:rPr>
        <w:t>Πιο συγκεκριμένα, τα έσοδα των μειζόνων κατηγοριών του κρατικού προϋπολογισμού έχουν ως ακολούθως:</w:t>
      </w:r>
    </w:p>
    <w:p w:rsidR="00393FA7" w:rsidRPr="00A52FFF" w:rsidRDefault="00393FA7" w:rsidP="00393FA7">
      <w:pPr>
        <w:widowControl w:val="0"/>
        <w:spacing w:after="0"/>
        <w:rPr>
          <w:rFonts w:ascii="Segoe UI" w:hAnsi="Segoe UI" w:cs="Segoe UI"/>
          <w:bCs/>
          <w:sz w:val="20"/>
          <w:szCs w:val="20"/>
        </w:rPr>
      </w:pPr>
    </w:p>
    <w:p w:rsidR="00393FA7" w:rsidRPr="00A52FFF" w:rsidRDefault="00393FA7" w:rsidP="00393FA7">
      <w:pPr>
        <w:pStyle w:val="a5"/>
        <w:numPr>
          <w:ilvl w:val="0"/>
          <w:numId w:val="12"/>
        </w:numPr>
        <w:spacing w:line="276" w:lineRule="auto"/>
        <w:ind w:left="714" w:hanging="357"/>
        <w:contextualSpacing/>
        <w:rPr>
          <w:rFonts w:ascii="Segoe UI" w:hAnsi="Segoe UI" w:cs="Segoe UI"/>
          <w:bCs/>
          <w:sz w:val="20"/>
          <w:lang w:eastAsia="el-GR"/>
        </w:rPr>
      </w:pPr>
      <w:r w:rsidRPr="00A52FFF">
        <w:rPr>
          <w:rFonts w:ascii="Segoe UI" w:hAnsi="Segoe UI" w:cs="Segoe UI"/>
          <w:bCs/>
          <w:sz w:val="20"/>
          <w:lang w:eastAsia="el-GR"/>
        </w:rPr>
        <w:t>Τα έσοδα της κατηγορίας «Φόροι» ανήλθαν σε 6.118 εκατ. ευρώ, και περιλαμβάνουν το ποσό των 306 εκατ. ευρώ, από τη Σύμβαση Παραχώρησης της Εγνατίας Οδού, όπως προαναφέρθηκε. Αν εξαιρεθεί το ποσό αυτό, τα φορολογικά έσοδα ανήλθαν σε 5.812 εκατ. ευρώ, μειωμένα κατά 324 εκατ. ευρώ ή 5,3% έναντι του στόχου</w:t>
      </w:r>
      <w:r w:rsidRPr="008E2B59">
        <w:rPr>
          <w:rFonts w:ascii="Segoe UI" w:hAnsi="Segoe UI" w:cs="Segoe UI"/>
          <w:bCs/>
          <w:sz w:val="20"/>
          <w:lang w:eastAsia="el-GR"/>
        </w:rPr>
        <w:t>,</w:t>
      </w:r>
      <w:r w:rsidRPr="00A52FFF">
        <w:rPr>
          <w:rFonts w:ascii="Segoe UI" w:hAnsi="Segoe UI" w:cs="Segoe UI"/>
          <w:bCs/>
          <w:sz w:val="20"/>
          <w:lang w:eastAsia="el-GR"/>
        </w:rPr>
        <w:t xml:space="preserve"> κυρίως εξαιτίας της μειωμένης είσπραξης των φόρων (ΦΠΑ και ΕΦΚ) που σχετίζονται με τα ενεργειακά προϊόντα.    </w:t>
      </w:r>
    </w:p>
    <w:p w:rsidR="00393FA7" w:rsidRPr="00A52FFF" w:rsidRDefault="00393FA7" w:rsidP="00393FA7">
      <w:pPr>
        <w:spacing w:after="0"/>
        <w:rPr>
          <w:rFonts w:ascii="Segoe UI" w:hAnsi="Segoe UI" w:cs="Segoe UI"/>
          <w:bCs/>
          <w:sz w:val="20"/>
          <w:szCs w:val="20"/>
        </w:rPr>
      </w:pPr>
    </w:p>
    <w:p w:rsidR="00393FA7" w:rsidRPr="00A52FFF" w:rsidRDefault="00393FA7" w:rsidP="00393FA7">
      <w:pPr>
        <w:spacing w:after="0"/>
        <w:ind w:left="360"/>
        <w:rPr>
          <w:rFonts w:ascii="Segoe UI" w:hAnsi="Segoe UI" w:cs="Segoe UI"/>
          <w:bCs/>
          <w:sz w:val="20"/>
          <w:szCs w:val="20"/>
        </w:rPr>
      </w:pPr>
      <w:r w:rsidRPr="00A52FFF">
        <w:rPr>
          <w:rFonts w:ascii="Segoe UI" w:hAnsi="Segoe UI" w:cs="Segoe UI"/>
          <w:bCs/>
          <w:sz w:val="20"/>
          <w:szCs w:val="20"/>
        </w:rPr>
        <w:t xml:space="preserve">Ειδικότερα για τους κυριότερους φόρους της κατηγορίας αυτής παρατηρούνται τα εξής : </w:t>
      </w:r>
    </w:p>
    <w:p w:rsidR="00393FA7" w:rsidRPr="00A52FFF" w:rsidRDefault="00393FA7" w:rsidP="00393FA7">
      <w:pPr>
        <w:spacing w:after="0"/>
        <w:contextualSpacing/>
        <w:rPr>
          <w:rFonts w:ascii="Segoe UI" w:hAnsi="Segoe UI" w:cs="Segoe UI"/>
          <w:bCs/>
          <w:sz w:val="20"/>
          <w:szCs w:val="20"/>
        </w:rPr>
      </w:pPr>
    </w:p>
    <w:p w:rsidR="00393FA7" w:rsidRPr="00A52FFF" w:rsidRDefault="00393FA7" w:rsidP="00393FA7">
      <w:pPr>
        <w:numPr>
          <w:ilvl w:val="0"/>
          <w:numId w:val="13"/>
        </w:numPr>
        <w:spacing w:after="0"/>
        <w:contextualSpacing/>
        <w:rPr>
          <w:rFonts w:ascii="Segoe UI" w:hAnsi="Segoe UI" w:cs="Segoe UI"/>
          <w:bCs/>
          <w:sz w:val="20"/>
          <w:szCs w:val="20"/>
        </w:rPr>
      </w:pPr>
      <w:r w:rsidRPr="00A52FFF">
        <w:rPr>
          <w:rFonts w:ascii="Segoe UI" w:hAnsi="Segoe UI" w:cs="Segoe UI"/>
          <w:bCs/>
          <w:sz w:val="20"/>
          <w:szCs w:val="20"/>
        </w:rPr>
        <w:t>Τα έσοδα από ΦΠΑ ανήλθαν σε 3.136 εκατ. ευρώ και είναι αυξημένα έναντι του στόχου κατά 257 εκατ. ευρώ.</w:t>
      </w:r>
      <w:r>
        <w:rPr>
          <w:rFonts w:ascii="Segoe UI" w:hAnsi="Segoe UI" w:cs="Segoe UI"/>
          <w:bCs/>
          <w:sz w:val="20"/>
          <w:szCs w:val="20"/>
        </w:rPr>
        <w:t xml:space="preserve"> Σημειώνεται ότι χωρίς το ποσό των </w:t>
      </w:r>
      <w:r w:rsidRPr="00781994">
        <w:rPr>
          <w:rFonts w:ascii="Segoe UI" w:hAnsi="Segoe UI" w:cs="Segoe UI"/>
          <w:bCs/>
          <w:sz w:val="20"/>
          <w:szCs w:val="20"/>
        </w:rPr>
        <w:t>306 εκατ. ευρώ</w:t>
      </w:r>
      <w:r>
        <w:rPr>
          <w:rFonts w:ascii="Segoe UI" w:hAnsi="Segoe UI" w:cs="Segoe UI"/>
          <w:bCs/>
          <w:sz w:val="20"/>
          <w:szCs w:val="20"/>
        </w:rPr>
        <w:t xml:space="preserve"> της ανωτέρω σύμβασης παραχώρησης, τα έσοδα από ΦΠΑ είναι μειωμένα κατά 49 εκατ. ευρώ έναντι του στόχου.</w:t>
      </w:r>
    </w:p>
    <w:p w:rsidR="00393FA7" w:rsidRPr="00A52FFF" w:rsidRDefault="00393FA7" w:rsidP="00393FA7">
      <w:pPr>
        <w:numPr>
          <w:ilvl w:val="0"/>
          <w:numId w:val="13"/>
        </w:numPr>
        <w:spacing w:after="0"/>
        <w:contextualSpacing/>
        <w:rPr>
          <w:rFonts w:ascii="Segoe UI" w:hAnsi="Segoe UI" w:cs="Segoe UI"/>
          <w:bCs/>
          <w:sz w:val="20"/>
          <w:szCs w:val="20"/>
        </w:rPr>
      </w:pPr>
      <w:r w:rsidRPr="00A52FFF">
        <w:rPr>
          <w:rFonts w:ascii="Segoe UI" w:hAnsi="Segoe UI" w:cs="Segoe UI"/>
          <w:bCs/>
          <w:sz w:val="20"/>
          <w:szCs w:val="20"/>
        </w:rPr>
        <w:t>Τα έσοδα των ΕΦΚ ανήλθαν σε 393 εκατ. ευρώ και είναι μειωμένα έναντι του στόχου κατά 154 εκατ. ευρώ.</w:t>
      </w:r>
    </w:p>
    <w:p w:rsidR="00393FA7" w:rsidRPr="00A52FFF" w:rsidRDefault="00393FA7" w:rsidP="00393FA7">
      <w:pPr>
        <w:numPr>
          <w:ilvl w:val="0"/>
          <w:numId w:val="13"/>
        </w:numPr>
        <w:spacing w:after="0"/>
        <w:contextualSpacing/>
        <w:rPr>
          <w:rFonts w:ascii="Segoe UI" w:hAnsi="Segoe UI" w:cs="Segoe UI"/>
          <w:bCs/>
          <w:sz w:val="20"/>
          <w:szCs w:val="20"/>
        </w:rPr>
      </w:pPr>
      <w:r w:rsidRPr="00A52FFF">
        <w:rPr>
          <w:rFonts w:ascii="Segoe UI" w:hAnsi="Segoe UI" w:cs="Segoe UI"/>
          <w:bCs/>
          <w:sz w:val="20"/>
          <w:szCs w:val="20"/>
        </w:rPr>
        <w:t>Τα έσοδα των φόρων ακίνητης περιουσίας ανήλθαν σε 90 εκατ. ευρώ και είναι μειωμένα έναντι του στόχου κατά 8 εκατ. ευρώ.</w:t>
      </w:r>
    </w:p>
    <w:p w:rsidR="00393FA7" w:rsidRPr="00A52FFF" w:rsidRDefault="00393FA7" w:rsidP="00393FA7">
      <w:pPr>
        <w:numPr>
          <w:ilvl w:val="0"/>
          <w:numId w:val="13"/>
        </w:numPr>
        <w:spacing w:after="0"/>
        <w:contextualSpacing/>
        <w:rPr>
          <w:rFonts w:ascii="Segoe UI" w:hAnsi="Segoe UI" w:cs="Segoe UI"/>
          <w:bCs/>
          <w:sz w:val="20"/>
          <w:szCs w:val="20"/>
        </w:rPr>
      </w:pPr>
      <w:r w:rsidRPr="00A52FFF">
        <w:rPr>
          <w:rFonts w:ascii="Segoe UI" w:hAnsi="Segoe UI" w:cs="Segoe UI"/>
          <w:bCs/>
          <w:sz w:val="20"/>
          <w:szCs w:val="20"/>
        </w:rPr>
        <w:t>Τα έσοδα των φόρων εισοδήματος ανήλθαν σε 2.059 εκατ. ευρώ και είναι μειωμένα έναντι του στόχου κατά 43 εκατ. ευρώ εκ των οποίων: ο Φόρος Εισοδήματος Φυσικών Προσώπων είναι αυξημένος κατά 14 εκατ. ευρώ, ενώ ο Φόρος Εισοδήματος Νομικών Προσώπων μειωμένος κατά 26 εκατ. ευρώ, και οι Λοιποί Φόροι Εισοδήματος μειωμένοι κατά 31 εκατ. ευρώ, έναντι του στόχου.</w:t>
      </w:r>
    </w:p>
    <w:p w:rsidR="00393FA7" w:rsidRPr="00A52FFF" w:rsidRDefault="00393FA7" w:rsidP="00393FA7">
      <w:pPr>
        <w:spacing w:after="0"/>
        <w:rPr>
          <w:rFonts w:ascii="Segoe UI" w:hAnsi="Segoe UI" w:cs="Segoe UI"/>
          <w:bCs/>
          <w:sz w:val="20"/>
          <w:szCs w:val="20"/>
        </w:rPr>
      </w:pPr>
    </w:p>
    <w:p w:rsidR="00393FA7" w:rsidRPr="00A52FFF" w:rsidRDefault="00393FA7" w:rsidP="00393FA7">
      <w:pPr>
        <w:pStyle w:val="a5"/>
        <w:numPr>
          <w:ilvl w:val="0"/>
          <w:numId w:val="12"/>
        </w:numPr>
        <w:spacing w:line="276" w:lineRule="auto"/>
        <w:ind w:left="714" w:hanging="357"/>
        <w:contextualSpacing/>
        <w:rPr>
          <w:rFonts w:ascii="Segoe UI" w:hAnsi="Segoe UI" w:cs="Segoe UI"/>
          <w:bCs/>
          <w:sz w:val="20"/>
        </w:rPr>
      </w:pPr>
      <w:r w:rsidRPr="00A52FFF">
        <w:rPr>
          <w:rFonts w:ascii="Segoe UI" w:hAnsi="Segoe UI" w:cs="Segoe UI"/>
          <w:bCs/>
          <w:sz w:val="20"/>
        </w:rPr>
        <w:t>Τα έσοδα της κατηγορίας «Κοινωνικές Εισφορές» ανήλθαν σε 5 εκατ. ευρώ, σύμφωνα με τον στόχο.</w:t>
      </w:r>
    </w:p>
    <w:p w:rsidR="00393FA7" w:rsidRPr="00A52FFF" w:rsidRDefault="00393FA7" w:rsidP="00393FA7">
      <w:pPr>
        <w:spacing w:after="0"/>
        <w:contextualSpacing/>
        <w:rPr>
          <w:rFonts w:ascii="Segoe UI" w:hAnsi="Segoe UI" w:cs="Segoe UI"/>
          <w:bCs/>
          <w:sz w:val="20"/>
          <w:szCs w:val="20"/>
        </w:rPr>
      </w:pPr>
    </w:p>
    <w:p w:rsidR="00393FA7" w:rsidRPr="00A52FFF" w:rsidRDefault="00393FA7" w:rsidP="00393FA7">
      <w:pPr>
        <w:pStyle w:val="a5"/>
        <w:numPr>
          <w:ilvl w:val="0"/>
          <w:numId w:val="12"/>
        </w:numPr>
        <w:spacing w:line="276" w:lineRule="auto"/>
        <w:ind w:left="714" w:hanging="357"/>
        <w:contextualSpacing/>
        <w:rPr>
          <w:rFonts w:ascii="Segoe UI" w:hAnsi="Segoe UI" w:cs="Segoe UI"/>
          <w:bCs/>
          <w:sz w:val="20"/>
        </w:rPr>
      </w:pPr>
      <w:r w:rsidRPr="00A52FFF">
        <w:rPr>
          <w:rFonts w:ascii="Segoe UI" w:hAnsi="Segoe UI" w:cs="Segoe UI"/>
          <w:bCs/>
          <w:sz w:val="20"/>
        </w:rPr>
        <w:t>Τα έσοδα της κατηγορίας «Μεταβιβάσεις» ανήλθαν σε 56 εκατ. ευρώ, μειωμένα κατά 116 εκατ. ευρώ έναντι του στόχου που έχει περιληφθεί στην εισηγητική έκθεση του Προϋπολογισμού 2026. Ποσό 46 εκατ. ευρώ αφορά έσοδα ΠΔΕ, τα οποία είναι μειωμένα κατά 57 εκατ. ευρώ έναντι του στόχου.</w:t>
      </w:r>
    </w:p>
    <w:p w:rsidR="00393FA7" w:rsidRPr="00A52FFF" w:rsidRDefault="00393FA7" w:rsidP="00393FA7">
      <w:pPr>
        <w:pStyle w:val="a5"/>
        <w:ind w:left="1070"/>
        <w:rPr>
          <w:rFonts w:ascii="Segoe UI" w:hAnsi="Segoe UI" w:cs="Segoe UI"/>
          <w:bCs/>
          <w:sz w:val="20"/>
        </w:rPr>
      </w:pPr>
    </w:p>
    <w:p w:rsidR="00393FA7" w:rsidRPr="00A52FFF" w:rsidRDefault="00393FA7" w:rsidP="00393FA7">
      <w:pPr>
        <w:pStyle w:val="a5"/>
        <w:numPr>
          <w:ilvl w:val="0"/>
          <w:numId w:val="12"/>
        </w:numPr>
        <w:spacing w:line="276" w:lineRule="auto"/>
        <w:ind w:left="714" w:hanging="357"/>
        <w:contextualSpacing/>
        <w:rPr>
          <w:rFonts w:ascii="Segoe UI" w:hAnsi="Segoe UI" w:cs="Segoe UI"/>
          <w:bCs/>
          <w:sz w:val="20"/>
        </w:rPr>
      </w:pPr>
      <w:r w:rsidRPr="00A52FFF">
        <w:rPr>
          <w:rFonts w:ascii="Segoe UI" w:hAnsi="Segoe UI" w:cs="Segoe UI"/>
          <w:bCs/>
          <w:sz w:val="20"/>
        </w:rPr>
        <w:t>Τα έσοδα της κατηγορίας «Πωλήσεις αγαθών και υπηρεσιών» ανήλθαν σε 479 εκατ. ευρώ και περιλαμβάνουν το ποσό των 306 εκατ. ευρώ, από τη Σύμβαση Παραχώρησης της Εγνατίας Οδού, όπως προαναφέρθηκε. Αν εξαιρεθεί το ποσό αυτό, τα ανωτέρω έσοδα ανήλθαν σε 173 εκατ. ευρώ</w:t>
      </w:r>
      <w:r w:rsidRPr="008E2B59">
        <w:rPr>
          <w:rFonts w:ascii="Segoe UI" w:hAnsi="Segoe UI" w:cs="Segoe UI"/>
          <w:bCs/>
          <w:sz w:val="20"/>
        </w:rPr>
        <w:t>,</w:t>
      </w:r>
      <w:r w:rsidRPr="00A52FFF">
        <w:rPr>
          <w:rFonts w:ascii="Segoe UI" w:hAnsi="Segoe UI" w:cs="Segoe UI"/>
          <w:bCs/>
          <w:sz w:val="20"/>
        </w:rPr>
        <w:t xml:space="preserve"> αυξημένα κατά 77 εκατ. ευρώ έναντι του στόχου που έχει περιληφθεί στην εισηγητική έκθεση του Προϋπολογισμού 2026.</w:t>
      </w:r>
    </w:p>
    <w:p w:rsidR="00393FA7" w:rsidRPr="00A52FFF" w:rsidRDefault="00393FA7" w:rsidP="00393FA7">
      <w:pPr>
        <w:pStyle w:val="a5"/>
        <w:ind w:left="714"/>
        <w:rPr>
          <w:rFonts w:ascii="Segoe UI" w:hAnsi="Segoe UI" w:cs="Segoe UI"/>
          <w:bCs/>
          <w:sz w:val="20"/>
        </w:rPr>
      </w:pPr>
    </w:p>
    <w:p w:rsidR="00393FA7" w:rsidRPr="00A52FFF" w:rsidRDefault="00393FA7" w:rsidP="00393FA7">
      <w:pPr>
        <w:pStyle w:val="a5"/>
        <w:numPr>
          <w:ilvl w:val="0"/>
          <w:numId w:val="12"/>
        </w:numPr>
        <w:spacing w:line="276" w:lineRule="auto"/>
        <w:ind w:left="714" w:hanging="357"/>
        <w:contextualSpacing/>
        <w:rPr>
          <w:rFonts w:ascii="Segoe UI" w:hAnsi="Segoe UI" w:cs="Segoe UI"/>
          <w:bCs/>
          <w:sz w:val="20"/>
        </w:rPr>
      </w:pPr>
      <w:r w:rsidRPr="00A52FFF">
        <w:rPr>
          <w:rFonts w:ascii="Segoe UI" w:hAnsi="Segoe UI" w:cs="Segoe UI"/>
          <w:bCs/>
          <w:sz w:val="20"/>
        </w:rPr>
        <w:t>Τα έσοδα της κατηγορίας «Λοιπά τρέχοντα έσοδα» ανήλθαν σε 276 εκατ. ευρώ, αυξημένα κατά 89 εκατ. ευρώ έναντι του στόχου που έχει περιληφθεί στην εισηγητική έκθεση του Προϋπολογισμού 2026. Από το ως άνω εισπραττόμενο ποσό των 276 εκατ. ευρώ, ποσό 93 εκατ. ευρώ αφορά έσοδα ΠΔΕ</w:t>
      </w:r>
      <w:r w:rsidRPr="008E2B59">
        <w:rPr>
          <w:rFonts w:ascii="Segoe UI" w:hAnsi="Segoe UI" w:cs="Segoe UI"/>
          <w:bCs/>
          <w:sz w:val="20"/>
        </w:rPr>
        <w:t>,</w:t>
      </w:r>
      <w:r w:rsidRPr="00A52FFF">
        <w:rPr>
          <w:rFonts w:ascii="Segoe UI" w:hAnsi="Segoe UI" w:cs="Segoe UI"/>
          <w:bCs/>
          <w:sz w:val="20"/>
        </w:rPr>
        <w:t xml:space="preserve"> τα οποία είναι αυξημένα κατά 66 εκατ. ευρώ έναντι του στόχου.</w:t>
      </w:r>
    </w:p>
    <w:p w:rsidR="00393FA7" w:rsidRPr="00A52FFF" w:rsidRDefault="00393FA7" w:rsidP="00393FA7">
      <w:pPr>
        <w:pStyle w:val="a5"/>
        <w:rPr>
          <w:rFonts w:ascii="Segoe UI" w:hAnsi="Segoe UI" w:cs="Segoe UI"/>
          <w:bCs/>
          <w:sz w:val="20"/>
        </w:rPr>
      </w:pPr>
    </w:p>
    <w:p w:rsidR="00393FA7" w:rsidRPr="00A52FFF" w:rsidRDefault="00393FA7" w:rsidP="00393FA7">
      <w:pPr>
        <w:spacing w:after="0"/>
        <w:contextualSpacing/>
        <w:rPr>
          <w:rFonts w:ascii="Segoe UI" w:hAnsi="Segoe UI" w:cs="Segoe UI"/>
          <w:b/>
          <w:sz w:val="20"/>
          <w:szCs w:val="20"/>
        </w:rPr>
      </w:pPr>
    </w:p>
    <w:p w:rsidR="00393FA7" w:rsidRPr="00A52FFF" w:rsidRDefault="00393FA7" w:rsidP="00393FA7">
      <w:pPr>
        <w:spacing w:after="0"/>
        <w:contextualSpacing/>
        <w:rPr>
          <w:rFonts w:ascii="Segoe UI" w:eastAsia="Times New Roman" w:hAnsi="Segoe UI" w:cs="Segoe UI"/>
          <w:bCs/>
          <w:sz w:val="20"/>
          <w:szCs w:val="20"/>
          <w:lang w:eastAsia="el-GR"/>
        </w:rPr>
      </w:pPr>
      <w:r w:rsidRPr="00A52FFF">
        <w:rPr>
          <w:rFonts w:ascii="Segoe UI" w:hAnsi="Segoe UI" w:cs="Segoe UI"/>
          <w:b/>
          <w:sz w:val="20"/>
          <w:szCs w:val="20"/>
        </w:rPr>
        <w:t xml:space="preserve">Οι επιστροφές εσόδων </w:t>
      </w:r>
      <w:r w:rsidRPr="00A52FFF">
        <w:rPr>
          <w:rFonts w:ascii="Segoe UI" w:hAnsi="Segoe UI" w:cs="Segoe UI"/>
          <w:sz w:val="20"/>
          <w:szCs w:val="20"/>
        </w:rPr>
        <w:t xml:space="preserve">ανήλθαν σε 795 εκατ. ευρώ και ενσωματώνουν το ποσό επιστροφής ΦΠΑ ύψους 306 εκατ. ευρώ από τη Σύμβαση Παραχώρησης της Εγνατίας Οδού, </w:t>
      </w:r>
      <w:r w:rsidRPr="00A52FFF">
        <w:rPr>
          <w:rFonts w:ascii="Segoe UI" w:eastAsia="Times New Roman" w:hAnsi="Segoe UI" w:cs="Segoe UI"/>
          <w:bCs/>
          <w:sz w:val="20"/>
          <w:szCs w:val="20"/>
          <w:lang w:eastAsia="el-GR"/>
        </w:rPr>
        <w:t>όπως προαναφέρθηκε. Αν εξαιρεθεί το ποσό αυτό, οι επιστροφές φόρων ανήλθαν σε 489 εκατ. ευρώ και είναι μειωμένες κατά 3 εκατ. ευρώ έναντι του στόχου (492 εκατ. ευρώ), που έχει περιληφθεί στην εισηγητική έκθεση του Προϋπολογισμού 2026.</w:t>
      </w:r>
    </w:p>
    <w:p w:rsidR="00393FA7" w:rsidRPr="00A52FFF" w:rsidRDefault="00393FA7" w:rsidP="00393FA7">
      <w:pPr>
        <w:spacing w:after="0"/>
        <w:contextualSpacing/>
        <w:rPr>
          <w:rFonts w:ascii="Segoe UI" w:eastAsia="Times New Roman" w:hAnsi="Segoe UI" w:cs="Segoe UI"/>
          <w:bCs/>
          <w:sz w:val="20"/>
          <w:szCs w:val="20"/>
          <w:lang w:eastAsia="el-GR"/>
        </w:rPr>
      </w:pPr>
    </w:p>
    <w:p w:rsidR="00393FA7" w:rsidRPr="00A52FFF" w:rsidRDefault="00393FA7" w:rsidP="00393FA7">
      <w:pPr>
        <w:spacing w:after="0"/>
        <w:rPr>
          <w:rFonts w:ascii="Segoe UI" w:eastAsia="Times New Roman" w:hAnsi="Segoe UI" w:cs="Segoe UI"/>
          <w:bCs/>
          <w:sz w:val="20"/>
          <w:szCs w:val="20"/>
          <w:lang w:eastAsia="el-GR"/>
        </w:rPr>
      </w:pPr>
      <w:r w:rsidRPr="00A52FFF">
        <w:rPr>
          <w:rFonts w:ascii="Segoe UI" w:hAnsi="Segoe UI" w:cs="Segoe UI"/>
          <w:b/>
          <w:sz w:val="20"/>
          <w:szCs w:val="20"/>
        </w:rPr>
        <w:t>Τα συνολικά έσοδα του Προγράμματος Δημοσίων Επενδύσεων (ΠΔΕ)</w:t>
      </w:r>
      <w:r w:rsidRPr="00A52FFF">
        <w:rPr>
          <w:rFonts w:ascii="Segoe UI" w:hAnsi="Segoe UI" w:cs="Segoe UI"/>
          <w:sz w:val="20"/>
          <w:szCs w:val="20"/>
        </w:rPr>
        <w:t xml:space="preserve"> ανήλθαν σε 139 εκατ. ευρώ, αυξημένα κατά 9 εκατ. ευρώ από τον στόχο (130 εκατ. ευρώ), </w:t>
      </w:r>
      <w:r w:rsidRPr="00A52FFF">
        <w:rPr>
          <w:rFonts w:ascii="Segoe UI" w:eastAsia="Times New Roman" w:hAnsi="Segoe UI" w:cs="Segoe UI"/>
          <w:bCs/>
          <w:sz w:val="20"/>
          <w:szCs w:val="20"/>
          <w:lang w:eastAsia="el-GR"/>
        </w:rPr>
        <w:t>που έχει περιληφθεί στην εισηγητική έκθεση του Προϋπολογισμού 2026.</w:t>
      </w:r>
    </w:p>
    <w:p w:rsidR="00393FA7" w:rsidRPr="00A52FFF" w:rsidRDefault="00393FA7" w:rsidP="00393FA7">
      <w:pPr>
        <w:spacing w:after="0"/>
        <w:rPr>
          <w:rFonts w:ascii="Segoe UI" w:eastAsia="Times New Roman" w:hAnsi="Segoe UI" w:cs="Segoe UI"/>
          <w:bCs/>
          <w:sz w:val="20"/>
          <w:szCs w:val="20"/>
          <w:lang w:eastAsia="el-GR"/>
        </w:rPr>
      </w:pPr>
    </w:p>
    <w:p w:rsidR="00393FA7" w:rsidRPr="00A52FFF" w:rsidRDefault="00393FA7" w:rsidP="00393FA7">
      <w:pPr>
        <w:pStyle w:val="Web"/>
        <w:tabs>
          <w:tab w:val="left" w:pos="1785"/>
        </w:tabs>
        <w:spacing w:before="0" w:beforeAutospacing="0" w:after="0" w:afterAutospacing="0" w:line="276" w:lineRule="auto"/>
        <w:contextualSpacing/>
        <w:rPr>
          <w:rFonts w:ascii="Segoe UI" w:hAnsi="Segoe UI" w:cs="Segoe UI"/>
          <w:sz w:val="20"/>
          <w:szCs w:val="20"/>
        </w:rPr>
      </w:pPr>
      <w:r w:rsidRPr="00A52FFF">
        <w:rPr>
          <w:rFonts w:ascii="Segoe UI" w:hAnsi="Segoe UI" w:cs="Segoe UI"/>
          <w:b/>
          <w:sz w:val="20"/>
          <w:szCs w:val="20"/>
        </w:rPr>
        <w:t xml:space="preserve">Οι δαπάνες του Κρατικού Προϋπολογισμού για την περίοδο του Ιανουαρίου 2026 </w:t>
      </w:r>
      <w:r w:rsidRPr="00A52FFF">
        <w:rPr>
          <w:rFonts w:ascii="Segoe UI" w:hAnsi="Segoe UI" w:cs="Segoe UI"/>
          <w:sz w:val="20"/>
          <w:szCs w:val="20"/>
        </w:rPr>
        <w:t xml:space="preserve">ανήλθαν στα </w:t>
      </w:r>
      <w:r w:rsidRPr="00A52FFF">
        <w:rPr>
          <w:rFonts w:ascii="Segoe UI" w:hAnsi="Segoe UI" w:cs="Segoe UI"/>
          <w:color w:val="000000" w:themeColor="text1"/>
          <w:sz w:val="20"/>
          <w:szCs w:val="20"/>
        </w:rPr>
        <w:t xml:space="preserve">3.851 </w:t>
      </w:r>
      <w:r w:rsidRPr="00A52FFF">
        <w:rPr>
          <w:rFonts w:ascii="Segoe UI" w:hAnsi="Segoe UI" w:cs="Segoe UI"/>
          <w:sz w:val="20"/>
          <w:szCs w:val="20"/>
        </w:rPr>
        <w:t xml:space="preserve">εκατ. ευρώ και παρουσιάζονται μειωμένες κατά </w:t>
      </w:r>
      <w:r w:rsidRPr="00A52FFF">
        <w:rPr>
          <w:rFonts w:ascii="Segoe UI" w:hAnsi="Segoe UI" w:cs="Segoe UI"/>
          <w:color w:val="000000" w:themeColor="text1"/>
          <w:sz w:val="20"/>
          <w:szCs w:val="20"/>
        </w:rPr>
        <w:t xml:space="preserve">1.709 </w:t>
      </w:r>
      <w:r w:rsidRPr="00A52FFF">
        <w:rPr>
          <w:rFonts w:ascii="Segoe UI" w:hAnsi="Segoe UI" w:cs="Segoe UI"/>
          <w:sz w:val="20"/>
          <w:szCs w:val="20"/>
        </w:rPr>
        <w:t xml:space="preserve">εκατ. ευρώ έναντι του στόχου (5.560 εκατ. ευρώ), που έχει περιληφθεί στην εισηγητική έκθεση του Προϋπολογισμού 2026. Επίσης, είναι μειωμένες σε σχέση με την αντίστοιχη περίοδο του 2025 </w:t>
      </w:r>
      <w:r w:rsidRPr="00A52FFF">
        <w:rPr>
          <w:rFonts w:ascii="Segoe UI" w:hAnsi="Segoe UI" w:cs="Segoe UI"/>
          <w:color w:val="000000" w:themeColor="text1"/>
          <w:sz w:val="20"/>
          <w:szCs w:val="20"/>
        </w:rPr>
        <w:t xml:space="preserve">κατά 1.382 </w:t>
      </w:r>
      <w:r w:rsidRPr="00A52FFF">
        <w:rPr>
          <w:rFonts w:ascii="Segoe UI" w:hAnsi="Segoe UI" w:cs="Segoe UI"/>
          <w:sz w:val="20"/>
          <w:szCs w:val="20"/>
        </w:rPr>
        <w:t>εκατ. ευρώ, κυρίως λόγω ετεροχρονισμού των μεταβιβάσεων σε ΟΚΑ.</w:t>
      </w:r>
    </w:p>
    <w:p w:rsidR="00393FA7" w:rsidRPr="00A52FFF" w:rsidRDefault="00393FA7" w:rsidP="00393FA7">
      <w:pPr>
        <w:pStyle w:val="Web"/>
        <w:tabs>
          <w:tab w:val="left" w:pos="1785"/>
        </w:tabs>
        <w:spacing w:before="0" w:beforeAutospacing="0" w:after="0" w:afterAutospacing="0" w:line="276" w:lineRule="auto"/>
        <w:contextualSpacing/>
        <w:rPr>
          <w:rFonts w:ascii="Segoe UI" w:hAnsi="Segoe UI" w:cs="Segoe UI"/>
          <w:sz w:val="20"/>
          <w:szCs w:val="20"/>
        </w:rPr>
      </w:pPr>
    </w:p>
    <w:p w:rsidR="00393FA7" w:rsidRPr="00A52FFF" w:rsidRDefault="00393FA7" w:rsidP="00393FA7">
      <w:pPr>
        <w:pStyle w:val="Web"/>
        <w:spacing w:before="0" w:beforeAutospacing="0" w:after="0" w:afterAutospacing="0" w:line="276" w:lineRule="auto"/>
        <w:contextualSpacing/>
        <w:rPr>
          <w:rFonts w:ascii="Segoe UI" w:hAnsi="Segoe UI" w:cs="Segoe UI"/>
          <w:sz w:val="20"/>
          <w:szCs w:val="20"/>
        </w:rPr>
      </w:pPr>
      <w:r w:rsidRPr="00A52FFF">
        <w:rPr>
          <w:rFonts w:ascii="Segoe UI" w:hAnsi="Segoe UI" w:cs="Segoe UI"/>
          <w:sz w:val="20"/>
          <w:szCs w:val="20"/>
        </w:rPr>
        <w:t xml:space="preserve">Στο σκέλος του Τακτικού Προϋπολογισμού, οι πληρωμές εμφανίζονται μειωμένες κατά 1.330 εκατ. ευρώ σε σχέση με τον στόχο, που σχετίζεται κυρίως με ετεροχρονισμό των μεταβιβαστικών πληρωμών προς φορείς γενικής κυβέρνησης κατά 1.272 εκατ. ευρώ. </w:t>
      </w:r>
    </w:p>
    <w:p w:rsidR="00393FA7" w:rsidRPr="00A52FFF" w:rsidRDefault="00393FA7" w:rsidP="00393FA7">
      <w:pPr>
        <w:pStyle w:val="Web"/>
        <w:spacing w:before="0" w:beforeAutospacing="0" w:after="0" w:afterAutospacing="0" w:line="276" w:lineRule="auto"/>
        <w:contextualSpacing/>
        <w:rPr>
          <w:rFonts w:ascii="Segoe UI" w:hAnsi="Segoe UI" w:cs="Segoe UI"/>
          <w:sz w:val="20"/>
          <w:szCs w:val="20"/>
        </w:rPr>
      </w:pPr>
    </w:p>
    <w:p w:rsidR="00393FA7" w:rsidRPr="00A52FFF" w:rsidRDefault="00393FA7" w:rsidP="00393FA7">
      <w:pPr>
        <w:pStyle w:val="Web"/>
        <w:spacing w:before="0" w:beforeAutospacing="0" w:after="0" w:afterAutospacing="0" w:line="276" w:lineRule="auto"/>
        <w:rPr>
          <w:rFonts w:ascii="Segoe UI" w:hAnsi="Segoe UI" w:cs="Segoe UI"/>
          <w:sz w:val="20"/>
          <w:szCs w:val="20"/>
        </w:rPr>
      </w:pPr>
      <w:r w:rsidRPr="00A52FFF">
        <w:rPr>
          <w:rFonts w:ascii="Segoe UI" w:hAnsi="Segoe UI" w:cs="Segoe UI"/>
          <w:sz w:val="20"/>
          <w:szCs w:val="20"/>
        </w:rPr>
        <w:t>Οι πληρωμές στο σκέλος των επενδυτικών δαπανών ανήλθαν στα 427 εκατ. ευρώ, μειωμένες κατά 379 εκατ. ευρώ σε σχέση με τον στόχο που έχει περιληφθεί στην εισηγητική έκθεση του Προϋπολογισμού 2026. Ταυτόχρονα, παρουσιάζονται μειωμένες σε σχέση με τις αντίστοιχες πληρωμές του 2025 κατά 309 εκατ. ευρώ.</w:t>
      </w:r>
    </w:p>
    <w:p w:rsidR="00393FA7" w:rsidRPr="00A52FFF" w:rsidRDefault="00393FA7" w:rsidP="00393FA7">
      <w:pPr>
        <w:spacing w:after="0"/>
      </w:pPr>
    </w:p>
    <w:p w:rsidR="00D94188" w:rsidRDefault="00393FA7" w:rsidP="00393FA7">
      <w:pPr>
        <w:rPr>
          <w:rFonts w:ascii="Segoe UI" w:hAnsi="Segoe UI" w:cs="Segoe UI"/>
          <w:sz w:val="20"/>
          <w:szCs w:val="20"/>
        </w:rPr>
      </w:pPr>
      <w:proofErr w:type="spellStart"/>
      <w:r w:rsidRPr="00A52FFF">
        <w:rPr>
          <w:rFonts w:ascii="Segoe UI" w:hAnsi="Segoe UI" w:cs="Segoe UI"/>
          <w:sz w:val="20"/>
          <w:szCs w:val="20"/>
        </w:rPr>
        <w:t>Σημειωτέον</w:t>
      </w:r>
      <w:proofErr w:type="spellEnd"/>
      <w:r w:rsidRPr="00A52FFF">
        <w:rPr>
          <w:rFonts w:ascii="Segoe UI" w:hAnsi="Segoe UI" w:cs="Segoe UI"/>
          <w:sz w:val="20"/>
          <w:szCs w:val="20"/>
        </w:rPr>
        <w:t xml:space="preserve"> ότι με την έναρξη του οικονομικού έτους, οι φορείς αναλαμβάνουν κατά προτεραιότητα πιστώσεις για την εξυπηρέτηση των απλήρωτων υποχρεώσεων των προηγούμενων ετών, καθώς και στο πλαίσιο των πολυετών υποχρεώσεων.</w:t>
      </w:r>
    </w:p>
    <w:p w:rsidR="00393FA7" w:rsidRPr="00393FA7" w:rsidRDefault="00393FA7" w:rsidP="00393FA7">
      <w:pPr>
        <w:jc w:val="right"/>
        <w:rPr>
          <w:b/>
        </w:rPr>
      </w:pPr>
      <w:r w:rsidRPr="00393FA7">
        <w:rPr>
          <w:b/>
          <w:lang w:val="en-US"/>
        </w:rPr>
        <w:t>A</w:t>
      </w:r>
      <w:r w:rsidRPr="00393FA7">
        <w:rPr>
          <w:b/>
        </w:rPr>
        <w:t>Π</w:t>
      </w:r>
      <w:bookmarkStart w:id="0" w:name="_GoBack"/>
      <w:bookmarkEnd w:id="0"/>
      <w:r w:rsidRPr="00393FA7">
        <w:rPr>
          <w:b/>
        </w:rPr>
        <w:t>Ο ΤΟ ΓΡΑΦΕΙΟ ΤΥΠΟΥ</w:t>
      </w:r>
    </w:p>
    <w:sectPr w:rsidR="00393FA7" w:rsidRPr="00393FA7" w:rsidSect="00B272E9">
      <w:headerReference w:type="default" r:id="rId7"/>
      <w:headerReference w:type="first" r:id="rId8"/>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98F" w:rsidRDefault="008A698F" w:rsidP="00903640">
      <w:pPr>
        <w:spacing w:after="0" w:line="240" w:lineRule="auto"/>
      </w:pPr>
      <w:r>
        <w:separator/>
      </w:r>
    </w:p>
  </w:endnote>
  <w:endnote w:type="continuationSeparator" w:id="0">
    <w:p w:rsidR="008A698F" w:rsidRDefault="008A698F"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98F" w:rsidRDefault="008A698F" w:rsidP="00903640">
      <w:pPr>
        <w:spacing w:after="0" w:line="240" w:lineRule="auto"/>
      </w:pPr>
      <w:r>
        <w:separator/>
      </w:r>
    </w:p>
  </w:footnote>
  <w:footnote w:type="continuationSeparator" w:id="0">
    <w:p w:rsidR="008A698F" w:rsidRDefault="008A698F"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rsidR="00524F85" w:rsidRDefault="00524F85" w:rsidP="009821BA">
    <w:pPr>
      <w:pStyle w:val="a3"/>
      <w:tabs>
        <w:tab w:val="clear" w:pos="8306"/>
      </w:tabs>
      <w:ind w:left="-426" w:right="-1700" w:firstLine="1"/>
    </w:pPr>
  </w:p>
  <w:p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4097"/>
    <w:multiLevelType w:val="hybridMultilevel"/>
    <w:tmpl w:val="50484B8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32B735D"/>
    <w:multiLevelType w:val="hybridMultilevel"/>
    <w:tmpl w:val="83E8C618"/>
    <w:lvl w:ilvl="0" w:tplc="0DC001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A128E1"/>
    <w:multiLevelType w:val="hybridMultilevel"/>
    <w:tmpl w:val="14847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771405E"/>
    <w:multiLevelType w:val="hybridMultilevel"/>
    <w:tmpl w:val="5450E0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2440DD3"/>
    <w:multiLevelType w:val="hybridMultilevel"/>
    <w:tmpl w:val="F4CA9724"/>
    <w:lvl w:ilvl="0" w:tplc="04080013">
      <w:start w:val="1"/>
      <w:numFmt w:val="upperRoman"/>
      <w:lvlText w:val="%1."/>
      <w:lvlJc w:val="right"/>
      <w:pPr>
        <w:ind w:left="107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5768D9"/>
    <w:multiLevelType w:val="hybridMultilevel"/>
    <w:tmpl w:val="EE36143A"/>
    <w:lvl w:ilvl="0" w:tplc="3898AFCC">
      <w:start w:val="1"/>
      <w:numFmt w:val="bullet"/>
      <w:lvlText w:val=""/>
      <w:lvlJc w:val="left"/>
      <w:pPr>
        <w:ind w:left="1800" w:hanging="360"/>
      </w:pPr>
      <w:rPr>
        <w:rFonts w:ascii="Symbol" w:hAnsi="Symbol" w:hint="default"/>
        <w:u w:color="FFCC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1"/>
  </w:num>
  <w:num w:numId="5">
    <w:abstractNumId w:val="12"/>
  </w:num>
  <w:num w:numId="6">
    <w:abstractNumId w:val="9"/>
  </w:num>
  <w:num w:numId="7">
    <w:abstractNumId w:val="4"/>
  </w:num>
  <w:num w:numId="8">
    <w:abstractNumId w:val="6"/>
  </w:num>
  <w:num w:numId="9">
    <w:abstractNumId w:val="10"/>
  </w:num>
  <w:num w:numId="10">
    <w:abstractNumId w:val="3"/>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3F4"/>
    <w:rsid w:val="00002D79"/>
    <w:rsid w:val="000147F8"/>
    <w:rsid w:val="000357B9"/>
    <w:rsid w:val="00045394"/>
    <w:rsid w:val="00060FEA"/>
    <w:rsid w:val="000B2F92"/>
    <w:rsid w:val="000C3FBE"/>
    <w:rsid w:val="000E375B"/>
    <w:rsid w:val="000F5EF2"/>
    <w:rsid w:val="00105C76"/>
    <w:rsid w:val="0013071D"/>
    <w:rsid w:val="001549F0"/>
    <w:rsid w:val="00165AEC"/>
    <w:rsid w:val="00167D9A"/>
    <w:rsid w:val="001817D4"/>
    <w:rsid w:val="00191FEA"/>
    <w:rsid w:val="001A1F5E"/>
    <w:rsid w:val="001A536F"/>
    <w:rsid w:val="001C0047"/>
    <w:rsid w:val="001E6EF7"/>
    <w:rsid w:val="00201A9B"/>
    <w:rsid w:val="002619C4"/>
    <w:rsid w:val="002658BA"/>
    <w:rsid w:val="0026720E"/>
    <w:rsid w:val="00276928"/>
    <w:rsid w:val="00291F5F"/>
    <w:rsid w:val="00296258"/>
    <w:rsid w:val="002A01A6"/>
    <w:rsid w:val="002A081C"/>
    <w:rsid w:val="002D4607"/>
    <w:rsid w:val="002F06CB"/>
    <w:rsid w:val="00304953"/>
    <w:rsid w:val="003106D8"/>
    <w:rsid w:val="00326109"/>
    <w:rsid w:val="00355182"/>
    <w:rsid w:val="0036367F"/>
    <w:rsid w:val="00393FA7"/>
    <w:rsid w:val="003B6024"/>
    <w:rsid w:val="003D1F57"/>
    <w:rsid w:val="003F4288"/>
    <w:rsid w:val="00411912"/>
    <w:rsid w:val="00421E1D"/>
    <w:rsid w:val="00462242"/>
    <w:rsid w:val="00465D35"/>
    <w:rsid w:val="00474D7F"/>
    <w:rsid w:val="004772B5"/>
    <w:rsid w:val="004A12C0"/>
    <w:rsid w:val="004B5C31"/>
    <w:rsid w:val="004E2705"/>
    <w:rsid w:val="004E48BE"/>
    <w:rsid w:val="004E6A90"/>
    <w:rsid w:val="004F7BAD"/>
    <w:rsid w:val="004F7F5C"/>
    <w:rsid w:val="00506167"/>
    <w:rsid w:val="00524158"/>
    <w:rsid w:val="00524F85"/>
    <w:rsid w:val="00542BE5"/>
    <w:rsid w:val="00545212"/>
    <w:rsid w:val="00571CA0"/>
    <w:rsid w:val="00572FCE"/>
    <w:rsid w:val="00573C19"/>
    <w:rsid w:val="00596126"/>
    <w:rsid w:val="005C53FB"/>
    <w:rsid w:val="005E0403"/>
    <w:rsid w:val="005F5BE7"/>
    <w:rsid w:val="00605CBE"/>
    <w:rsid w:val="00624ED5"/>
    <w:rsid w:val="00630021"/>
    <w:rsid w:val="00631E64"/>
    <w:rsid w:val="00640F3F"/>
    <w:rsid w:val="00650F70"/>
    <w:rsid w:val="006559E1"/>
    <w:rsid w:val="006655D2"/>
    <w:rsid w:val="00675465"/>
    <w:rsid w:val="00697751"/>
    <w:rsid w:val="006A5FD3"/>
    <w:rsid w:val="006A77EB"/>
    <w:rsid w:val="006A7DEB"/>
    <w:rsid w:val="006B0151"/>
    <w:rsid w:val="006B51F4"/>
    <w:rsid w:val="006C25B5"/>
    <w:rsid w:val="006C3390"/>
    <w:rsid w:val="006C6393"/>
    <w:rsid w:val="006C73F3"/>
    <w:rsid w:val="006D3518"/>
    <w:rsid w:val="0070003F"/>
    <w:rsid w:val="00727485"/>
    <w:rsid w:val="0072778A"/>
    <w:rsid w:val="00755F63"/>
    <w:rsid w:val="00776A5F"/>
    <w:rsid w:val="00791BAA"/>
    <w:rsid w:val="007B238D"/>
    <w:rsid w:val="007B472B"/>
    <w:rsid w:val="007B71ED"/>
    <w:rsid w:val="007E0306"/>
    <w:rsid w:val="008066A6"/>
    <w:rsid w:val="00836F6C"/>
    <w:rsid w:val="00853038"/>
    <w:rsid w:val="00883B52"/>
    <w:rsid w:val="00886575"/>
    <w:rsid w:val="008A698F"/>
    <w:rsid w:val="008B2A36"/>
    <w:rsid w:val="008C6BDE"/>
    <w:rsid w:val="008D18CE"/>
    <w:rsid w:val="008D248B"/>
    <w:rsid w:val="008E4CB8"/>
    <w:rsid w:val="008F064A"/>
    <w:rsid w:val="008F4F8F"/>
    <w:rsid w:val="00903640"/>
    <w:rsid w:val="00925C4F"/>
    <w:rsid w:val="00957F16"/>
    <w:rsid w:val="00963636"/>
    <w:rsid w:val="00970D40"/>
    <w:rsid w:val="00974756"/>
    <w:rsid w:val="00980E95"/>
    <w:rsid w:val="009821BA"/>
    <w:rsid w:val="0098684E"/>
    <w:rsid w:val="009A1D8D"/>
    <w:rsid w:val="009F023E"/>
    <w:rsid w:val="00A009A4"/>
    <w:rsid w:val="00A26184"/>
    <w:rsid w:val="00A27FDA"/>
    <w:rsid w:val="00A42F91"/>
    <w:rsid w:val="00A63AA0"/>
    <w:rsid w:val="00A72257"/>
    <w:rsid w:val="00A83C9E"/>
    <w:rsid w:val="00A96DCE"/>
    <w:rsid w:val="00AA3762"/>
    <w:rsid w:val="00AB314A"/>
    <w:rsid w:val="00AE5992"/>
    <w:rsid w:val="00AF02D3"/>
    <w:rsid w:val="00B12D65"/>
    <w:rsid w:val="00B1580B"/>
    <w:rsid w:val="00B15D35"/>
    <w:rsid w:val="00B23C26"/>
    <w:rsid w:val="00B272E9"/>
    <w:rsid w:val="00B500E6"/>
    <w:rsid w:val="00B757B4"/>
    <w:rsid w:val="00B8202D"/>
    <w:rsid w:val="00B855A1"/>
    <w:rsid w:val="00BA2EB6"/>
    <w:rsid w:val="00BB1074"/>
    <w:rsid w:val="00BB5DA1"/>
    <w:rsid w:val="00BC34EF"/>
    <w:rsid w:val="00BD37D6"/>
    <w:rsid w:val="00BD3A3C"/>
    <w:rsid w:val="00BE3C6C"/>
    <w:rsid w:val="00C418AF"/>
    <w:rsid w:val="00C51093"/>
    <w:rsid w:val="00C53AC3"/>
    <w:rsid w:val="00C63906"/>
    <w:rsid w:val="00C74766"/>
    <w:rsid w:val="00C857A3"/>
    <w:rsid w:val="00C878EA"/>
    <w:rsid w:val="00CE0293"/>
    <w:rsid w:val="00CE4684"/>
    <w:rsid w:val="00CF0356"/>
    <w:rsid w:val="00D75D1A"/>
    <w:rsid w:val="00D855A1"/>
    <w:rsid w:val="00D86FB0"/>
    <w:rsid w:val="00D94188"/>
    <w:rsid w:val="00DA3706"/>
    <w:rsid w:val="00DB2CFF"/>
    <w:rsid w:val="00DD06E9"/>
    <w:rsid w:val="00DD64F9"/>
    <w:rsid w:val="00DE4F60"/>
    <w:rsid w:val="00DF1F58"/>
    <w:rsid w:val="00E06B12"/>
    <w:rsid w:val="00E378F9"/>
    <w:rsid w:val="00E46BB7"/>
    <w:rsid w:val="00E55E00"/>
    <w:rsid w:val="00E62AEF"/>
    <w:rsid w:val="00E673AF"/>
    <w:rsid w:val="00EA20C3"/>
    <w:rsid w:val="00EA3EB1"/>
    <w:rsid w:val="00EB4981"/>
    <w:rsid w:val="00EC6ADA"/>
    <w:rsid w:val="00F9706B"/>
    <w:rsid w:val="00FB2977"/>
    <w:rsid w:val="00FC06EF"/>
    <w:rsid w:val="00FC5CF5"/>
    <w:rsid w:val="00FC6AD9"/>
    <w:rsid w:val="00FD6B95"/>
    <w:rsid w:val="00FE2320"/>
    <w:rsid w:val="00FE4859"/>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8EA25"/>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3FA7"/>
    <w:pPr>
      <w:spacing w:after="200" w:line="276" w:lineRule="auto"/>
      <w:jc w:val="both"/>
    </w:pPr>
    <w:rPr>
      <w:rFonts w:ascii="Calibri" w:eastAsia="Calibri" w:hAnsi="Calibri" w:cs="Times New Roman"/>
    </w:rPr>
  </w:style>
  <w:style w:type="paragraph" w:styleId="1">
    <w:name w:val="heading 1"/>
    <w:basedOn w:val="a"/>
    <w:next w:val="a"/>
    <w:link w:val="1Char"/>
    <w:qFormat/>
    <w:rsid w:val="00CF0356"/>
    <w:pPr>
      <w:keepNext/>
      <w:spacing w:after="0" w:line="240" w:lineRule="auto"/>
      <w:outlineLvl w:val="0"/>
    </w:pPr>
    <w:rPr>
      <w:rFonts w:ascii="Times New Roman" w:eastAsia="Times New Roman" w:hAnsi="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pPr>
    <w:rPr>
      <w:rFonts w:ascii="Arial" w:eastAsia="Times New Roman" w:hAnsi="Arial"/>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 w:type="table" w:styleId="a8">
    <w:name w:val="Table Grid"/>
    <w:basedOn w:val="a1"/>
    <w:uiPriority w:val="59"/>
    <w:rsid w:val="00D9418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uiPriority w:val="99"/>
    <w:semiHidden/>
    <w:unhideWhenUsed/>
    <w:rsid w:val="00D94188"/>
    <w:pPr>
      <w:spacing w:after="0" w:line="240" w:lineRule="auto"/>
    </w:pPr>
    <w:rPr>
      <w:szCs w:val="21"/>
    </w:rPr>
  </w:style>
  <w:style w:type="character" w:customStyle="1" w:styleId="Char2">
    <w:name w:val="Απλό κείμενο Char"/>
    <w:basedOn w:val="a0"/>
    <w:link w:val="a9"/>
    <w:uiPriority w:val="99"/>
    <w:semiHidden/>
    <w:rsid w:val="00D94188"/>
    <w:rPr>
      <w:rFonts w:ascii="Calibri" w:hAnsi="Calibri"/>
      <w:szCs w:val="21"/>
    </w:rPr>
  </w:style>
  <w:style w:type="paragraph" w:styleId="Web">
    <w:name w:val="Normal (Web)"/>
    <w:basedOn w:val="a"/>
    <w:uiPriority w:val="99"/>
    <w:unhideWhenUsed/>
    <w:rsid w:val="00393FA7"/>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5967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Αιμιλία Ζωγράφου</cp:lastModifiedBy>
  <cp:revision>2</cp:revision>
  <dcterms:created xsi:type="dcterms:W3CDTF">2026-02-25T08:02:00Z</dcterms:created>
  <dcterms:modified xsi:type="dcterms:W3CDTF">2026-02-25T08:02:00Z</dcterms:modified>
</cp:coreProperties>
</file>